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png" ContentType="image/png"/>
  <Override PartName="/word/media/rId29.png" ContentType="image/png"/>
  <Override PartName="/word/media/rId23.png" ContentType="image/png"/>
  <Override PartName="/word/media/rId35.png" ContentType="image/png"/>
  <Override PartName="/word/media/rId32.png" ContentType="image/png"/>
  <Override PartName="/word/media/rId26.png" ContentType="image/png"/>
  <Override PartName="/word/media/rId20.png" ContentType="image/png"/>
  <Override PartName="/word/media/rId4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e927b7f2eb6ed2c9a257c8cced16f472cab80d1"/>
    <w:p>
      <w:pPr>
        <w:pStyle w:val="Heading3"/>
      </w:pPr>
      <w:r>
        <w:t xml:space="preserve">Результаты работы отдела обследования грунтов и конструктивных слоев дорожных одежд по итогам деятельности в 2024 году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Отдел обследования грунтов и конструктивных слоев дорожных одежд является структурным подразделением Органа Инспекции ГБУ «ЦЭИИС. Отдел с 2016 года выполняет обследования и последующую оценку соответствия качества фактически выполненных работ и примененного строительного материала на объектах дорожного строительства города Москвы.</w:t>
      </w:r>
    </w:p>
    <w:p>
      <w:pPr>
        <w:pStyle w:val="BodyText"/>
      </w:pPr>
      <w:r>
        <w:t xml:space="preserve">Сотрудники отдела проводят обследования следующих конструкций и качества выполненных работ:</w:t>
      </w:r>
    </w:p>
    <w:p>
      <w:pPr>
        <w:pStyle w:val="BodyText"/>
      </w:pPr>
      <w:r>
        <w:t xml:space="preserve">· Асфальто-бетонные слои дорожной одежды;</w:t>
      </w:r>
    </w:p>
    <w:p>
      <w:pPr>
        <w:pStyle w:val="BodyText"/>
      </w:pPr>
      <w:r>
        <w:t xml:space="preserve">· Цементо-бетонные слои дорожной одежды;</w:t>
      </w:r>
    </w:p>
    <w:p>
      <w:pPr>
        <w:pStyle w:val="BodyText"/>
      </w:pPr>
      <w:r>
        <w:t xml:space="preserve">· Строительное конструкции, выполняемые щебеночного материала;</w:t>
      </w:r>
    </w:p>
    <w:p>
      <w:pPr>
        <w:pStyle w:val="BodyText"/>
      </w:pPr>
      <w:r>
        <w:t xml:space="preserve">· Строительное конструкции, выполняемые песчаного материала;</w:t>
      </w:r>
    </w:p>
    <w:p>
      <w:pPr>
        <w:pStyle w:val="BodyText"/>
      </w:pPr>
      <w:r>
        <w:t xml:space="preserve">· Монолитные железобетонные конструкции дорожной инфраструктуры;</w:t>
      </w:r>
    </w:p>
    <w:p>
      <w:pPr>
        <w:pStyle w:val="BodyText"/>
      </w:pPr>
      <w:r>
        <w:t xml:space="preserve">· Горизонтальная дорожная разметка.</w:t>
      </w:r>
    </w:p>
    <w:p>
      <w:pPr>
        <w:pStyle w:val="BodyText"/>
      </w:pPr>
      <w:r>
        <w:t xml:space="preserve">За время работы отдела его сотрудниками было выполнено свыше 22 тысяч работ в результате которых было выявлено более 7 000 нарушений требований нормативной и проектно-технической документации что составляет 39% от общего количества выполненных работ.</w:t>
      </w:r>
    </w:p>
    <w:p>
      <w:pPr>
        <w:pStyle w:val="BodyText"/>
      </w:pPr>
      <w:r>
        <w:drawing>
          <wp:inline>
            <wp:extent cx="5334000" cy="2413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6%20декабря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3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Процентное соотношение результатов экспертиз (2016-2024)</w:t>
      </w:r>
    </w:p>
    <w:p>
      <w:pPr>
        <w:pStyle w:val="BodyText"/>
      </w:pPr>
      <w:r>
        <w:drawing>
          <wp:inline>
            <wp:extent cx="4822256" cy="321483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26%20дек.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3214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Процентное отношение выявляемых нарушений от общего количества работ по годам</w:t>
      </w:r>
    </w:p>
    <w:p>
      <w:pPr>
        <w:pStyle w:val="BodyText"/>
      </w:pPr>
      <w:r>
        <w:t xml:space="preserve">Наибольшее количество работ пришлось на такие виды испытаний как:</w:t>
      </w:r>
    </w:p>
    <w:p>
      <w:pPr>
        <w:pStyle w:val="BodyText"/>
      </w:pPr>
      <w:r>
        <w:t xml:space="preserve">- Определение толщины конструктивных слоев дорожной одежды – более 3-х тысяч работ (3362 работ);</w:t>
      </w:r>
    </w:p>
    <w:p>
      <w:pPr>
        <w:pStyle w:val="BodyText"/>
      </w:pPr>
      <w:r>
        <w:t xml:space="preserve">- Определение коэффициента уплотнения и водонасыщения асфальтобетона – более 2-х тысяч работ (2473 работ);</w:t>
      </w:r>
    </w:p>
    <w:p>
      <w:pPr>
        <w:pStyle w:val="BodyText"/>
      </w:pPr>
      <w:r>
        <w:t xml:space="preserve">- Определение физических характеристик песчаного грунта применяемого в качестве строительного материала - чуть более 2-х тысяч работ (2080 работ).</w:t>
      </w:r>
    </w:p>
    <w:p>
      <w:pPr>
        <w:pStyle w:val="BodyText"/>
      </w:pPr>
      <w:r>
        <w:drawing>
          <wp:inline>
            <wp:extent cx="5334000" cy="27829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26%20декабр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2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Количественное соотношение выполняемых работ отдела за 2016-2024 гг.</w:t>
      </w:r>
    </w:p>
    <w:p>
      <w:pPr>
        <w:pStyle w:val="BodyText"/>
      </w:pPr>
      <w:r>
        <w:t xml:space="preserve">За 2024 сотрудниками отдела обследования грунтов и конструктивных слоев дорожных одежд выполнено 2584 экспертиз и оценок соответствия качества фактически выполненных работ и примененного строительного материала на объектах дорожного строительства города Москвы, что составляет 99 % от плана работы отдела на 2024 год.</w:t>
      </w:r>
    </w:p>
    <w:p>
      <w:pPr>
        <w:pStyle w:val="BodyText"/>
      </w:pPr>
      <w:r>
        <w:t xml:space="preserve">Наибольшее количество работ в 2024 году было выполнено по следующим работам:</w:t>
      </w:r>
    </w:p>
    <w:p>
      <w:pPr>
        <w:pStyle w:val="BodyText"/>
      </w:pPr>
      <w:r>
        <w:t xml:space="preserve">1.7.5. – «Оценка соответствия значений толщин, количества и состава слоев дорожной одежды требованиям проектной документации и (или) информационной модели объекта.» - 487 выполненных работ;</w:t>
      </w:r>
    </w:p>
    <w:p>
      <w:pPr>
        <w:pStyle w:val="BodyText"/>
      </w:pPr>
      <w:r>
        <w:t xml:space="preserve">1.7.6. – «Оценка фактических значений коэффициентов уплотнения и водонасыщения асфальтобетона, применяемого в конструктивных слоях дорожной одежды требованиям проектной документации и(или) информационной модели объекта» - 314 выполненных работ;</w:t>
      </w:r>
    </w:p>
    <w:p>
      <w:pPr>
        <w:pStyle w:val="BodyText"/>
      </w:pPr>
      <w:r>
        <w:t xml:space="preserve">1.7.10. – «Оценка соответствия класса бетона по прочности на сжатие конструктивного слоя дорожной одежды, требованиям проектной документации и (или) информационной модели объекта» - 271 выполненных работ;</w:t>
      </w:r>
    </w:p>
    <w:p>
      <w:pPr>
        <w:pStyle w:val="BodyText"/>
      </w:pPr>
      <w:r>
        <w:t xml:space="preserve">1.1.4. – «Оценка соответствия толщины защитного слоя бетона и шага армирования в железобетонных конструкциях требованиям проектной документации и (или) информационной модели объекта.» - 249 выполненных работ;</w:t>
      </w:r>
    </w:p>
    <w:p>
      <w:pPr>
        <w:pStyle w:val="BodyText"/>
      </w:pPr>
      <w:r>
        <w:t xml:space="preserve">1.1.1. – «Оценка соответствия класса бетона по прочности на сжатие требованиям проектной документации и (или) информационной модели объекта.» - 200 выполненных работ;</w:t>
      </w:r>
    </w:p>
    <w:p>
      <w:pPr>
        <w:pStyle w:val="BodyText"/>
      </w:pPr>
      <w:r>
        <w:t xml:space="preserve">1.7.7 – «Оценка соответствия ровности покрытия (основания) дорожных одежд требованиям проектной документации и (или) информационной модели объекта» - 169 выполненных работ;</w:t>
      </w:r>
    </w:p>
    <w:p>
      <w:pPr>
        <w:pStyle w:val="BodyText"/>
      </w:pPr>
      <w:r>
        <w:t xml:space="preserve">1.7.1 –- «Оценка соответствия поперечных уклонов, ширины асфальтобетонных и цементобетонных оснований и покрытий требованиям проектной документации и (или) информационной модели объекта» -119 выполненных работ.</w:t>
      </w:r>
    </w:p>
    <w:p>
      <w:pPr>
        <w:pStyle w:val="BodyText"/>
      </w:pPr>
      <w:r>
        <w:drawing>
          <wp:inline>
            <wp:extent cx="4600875" cy="282020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26%20дек.....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875" cy="2820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Наиболее востребованные работы отдела в 2024 году</w:t>
      </w:r>
    </w:p>
    <w:p>
      <w:pPr>
        <w:pStyle w:val="BodyText"/>
      </w:pPr>
      <w:r>
        <w:drawing>
          <wp:inline>
            <wp:extent cx="4851132" cy="451424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26%20дек.2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132" cy="451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Наиболее востребованные работы ООГиКСДО за 2024 год</w:t>
      </w:r>
    </w:p>
    <w:p>
      <w:pPr>
        <w:pStyle w:val="BodyText"/>
      </w:pPr>
      <w:r>
        <w:t xml:space="preserve">За 2024 сотрудниками отдела было выявлено 1170 нарушений требованиям проектной и технической документации по качеству производства работ и применённого строительного материала на объектах дорожного строительства города Москвы, что составляет 45% от общего количества экспертиз.</w:t>
      </w:r>
      <w:r>
        <w:br/>
      </w:r>
    </w:p>
    <w:p>
      <w:pPr>
        <w:pStyle w:val="BodyText"/>
      </w:pPr>
      <w:r>
        <w:drawing>
          <wp:inline>
            <wp:extent cx="4687503" cy="285870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26%20дек.2024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858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Процентное соотношение результатов экспертиз за 2024 год</w:t>
      </w:r>
    </w:p>
    <w:p>
      <w:pPr>
        <w:pStyle w:val="BodyText"/>
      </w:pPr>
      <w:r>
        <w:t xml:space="preserve">Статистика распределения количества выполняемых работ сотрудниками отдела по месяцам представлена на диаграмме №7.</w:t>
      </w:r>
    </w:p>
    <w:p>
      <w:pPr>
        <w:pStyle w:val="BodyText"/>
      </w:pPr>
      <w:r>
        <w:drawing>
          <wp:inline>
            <wp:extent cx="4745254" cy="2858703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26%20дек%202024444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254" cy="2858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Распределение выполнения работ отдела по месяцам 2024 года</w:t>
      </w:r>
    </w:p>
    <w:p>
      <w:pPr>
        <w:pStyle w:val="BodyText"/>
      </w:pPr>
      <w:r>
        <w:t xml:space="preserve">По поручениям Мосгосстройнадзора и города Москвы выполнено комплексное обследование объектов благоустройства включавшее себя оценку качества выполненных работ и примененных строительных материалов конструктивных слоев дорожных одежд. Работа проводилась на объекте:</w:t>
      </w:r>
    </w:p>
    <w:p>
      <w:pPr>
        <w:pStyle w:val="BodyText"/>
      </w:pPr>
      <w:r>
        <w:t xml:space="preserve">- Илимская ул. вл. 3/5 (СВАО, Лианозово) Многоэтажные жилые дома со встроенно-пристроенными нежилыми помещениями, дошкольной образовательной организацией на 175 мест. «Светлый мир «В стремлении к свету...». 3 этап строительства.</w:t>
      </w:r>
    </w:p>
    <w:p>
      <w:pPr>
        <w:pStyle w:val="BodyText"/>
      </w:pPr>
      <w:r>
        <w:drawing>
          <wp:inline>
            <wp:extent cx="5334000" cy="2373769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eiis.mos.ru/www/26.12%20фото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3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отделе проведены занятия по обучению эффективного применения приборов и оборудования, закрепленного за отделом, применения нормативных документов, регламентирующих порядок проведения испытаний и измерений, в рамках выполнения государственных работ.</w:t>
      </w:r>
    </w:p>
    <w:p>
      <w:pPr>
        <w:pStyle w:val="BodyText"/>
      </w:pPr>
      <w:r>
        <w:t xml:space="preserve">29 мая 2024 года специалисты отдела приняли участие в ХI международной научно-практической конференции «Основания и фундаменты: современные технологии, специальная техника, оборудование и материалы», проходившей в Международном выставочном центре «Крокус Экспо» г. Москва.</w:t>
      </w:r>
    </w:p>
    <w:p>
      <w:pPr>
        <w:pStyle w:val="BodyText"/>
      </w:pPr>
      <w:r>
        <w:t xml:space="preserve">02 декабря 2024 года специалисты отдела приняли участие в IX Межрегиональной конференции органов регионального государственного строительного надзора субъектов РФ в Ситуационном центре города Москвы.</w:t>
      </w:r>
    </w:p>
    <w:p>
      <w:pPr>
        <w:pStyle w:val="BodyText"/>
      </w:pPr>
      <w:r>
        <w:t xml:space="preserve">Внедрение новых и перспективных технологий в строительство, а также изменения в методологии и системе контроля качества всегда находились под пристальным вниманием ГБУ «ЦЭИИС».</w:t>
      </w:r>
    </w:p>
    <w:p>
      <w:pPr>
        <w:pStyle w:val="BodyText"/>
      </w:pPr>
      <w:r>
        <w:t xml:space="preserve">Подводя итог 2024 года важно также отметить, что в целом все плановые задачи, стоящие перед Отделом обследования грунтов и конструктивных слоев дорожных одежд были выполнены.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Градостроительный кодекс российской федерации. (с изменениями на 19 декабря 2022 года) (редакция, действующая с 30 декабря 2022 года).</w:t>
      </w:r>
    </w:p>
    <w:p>
      <w:pPr>
        <w:pStyle w:val="BodyText"/>
      </w:pPr>
      <w:r>
        <w:t xml:space="preserve">2. Федеральный закон. Технический регламент о безопасности зданий и сооружений.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инженер-эксперт Отдела обследования грунтов и </w:t>
      </w:r>
    </w:p>
    <w:p>
      <w:pPr>
        <w:pStyle w:val="BodyText"/>
      </w:pPr>
      <w:r>
        <w:rPr>
          <w:iCs/>
          <w:i/>
        </w:rPr>
        <w:t xml:space="preserve">конструктивных слоев дорожных одежд ГБУ «ЦЭИИС» Г.А. Менделев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http://ceiis.mos.ru/presscenter/news/detail/12741175.html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ГБУ города Москвы «ЦЭИИС»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png" /><Relationship Type="http://schemas.openxmlformats.org/officeDocument/2006/relationships/image" Id="rId29" Target="media/rId29.png" /><Relationship Type="http://schemas.openxmlformats.org/officeDocument/2006/relationships/image" Id="rId23" Target="media/rId23.png" /><Relationship Type="http://schemas.openxmlformats.org/officeDocument/2006/relationships/image" Id="rId35" Target="media/rId35.png" /><Relationship Type="http://schemas.openxmlformats.org/officeDocument/2006/relationships/image" Id="rId32" Target="media/rId32.png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image" Id="rId41" Target="media/rId41.png" /><Relationship Type="http://schemas.openxmlformats.org/officeDocument/2006/relationships/hyperlink" Id="rId45" Target="http://ceiis.mos.ru" TargetMode="External" /><Relationship Type="http://schemas.openxmlformats.org/officeDocument/2006/relationships/hyperlink" Id="rId44" Target="http://ceiis.mos.ru/presscenter/news/detail/12741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ceiis.mos.ru" TargetMode="External" /><Relationship Type="http://schemas.openxmlformats.org/officeDocument/2006/relationships/hyperlink" Id="rId44" Target="http://ceiis.mos.ru/presscenter/news/detail/12741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2025-02-19T13:15:55Z</dcterms:created>
  <dcterms:modified xsi:type="dcterms:W3CDTF">2025-02-19T13:15:55Z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