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029b591816894abf833adf7330085ced1271b"/>
    <w:p>
      <w:pPr>
        <w:pStyle w:val="Heading3"/>
      </w:pPr>
      <w:r>
        <w:t xml:space="preserve">Специалисты ГБУ «ЦЭИИС» провели обследование нового дорожного покрытия на территории очистных сооружений в НАО Москвы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rPr>
          <w:iCs/>
          <w:i/>
        </w:rPr>
        <w:t xml:space="preserve">Работы велись в поселке Минвнешторг по адресу: улица Ленина, владение 38А.</w:t>
      </w:r>
    </w:p>
    <w:p>
      <w:pPr>
        <w:pStyle w:val="BodyText"/>
      </w:pPr>
      <w:r>
        <w:drawing>
          <wp:inline>
            <wp:extent cx="5334000" cy="39977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0.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 был произведен отбор проб асфальтобетона для последующего его исследования в лабораторных условиях.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http://ceiis.mos.ru/presscenter/news/detail/12377929.html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377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377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2024-08-20T09:06:53Z</dcterms:created>
  <dcterms:modified xsi:type="dcterms:W3CDTF">2024-08-20T09:06:53Z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