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a4cf552e53e0feafe44e3197e97dd9408a173"/>
    <w:p>
      <w:pPr>
        <w:pStyle w:val="Heading3"/>
      </w:pPr>
      <w:r>
        <w:t xml:space="preserve">Специалисты ГБУ «ЦЭИИС» провели обследование дорожного покрытия на территории будущего спорткомплекса «Баланс»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rPr>
          <w:iCs/>
          <w:i/>
        </w:rPr>
        <w:t xml:space="preserve">Работы велись по адресу: Алтуфьевское шоссе, владение 100.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fc/z09e7dqpz03mkc5mdp48hi2mzxbct5t2/Prezentatsiya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t xml:space="preserve">По информации пресс – службы комплекса градостроительной политики и строительства города Москвы, общая площадь спорткомплекса в Бибирево составит более 4 тыс. кв. метров.</w:t>
      </w:r>
    </w:p>
    <w:p>
      <w:pPr>
        <w:pStyle w:val="BodyText"/>
      </w:pPr>
      <w:r>
        <w:t xml:space="preserve">В здании разместятся: бассейны длиной 25 и 10 метров соответственно, тренажерный зал, раздевалки с душевыми и другие вспомогательные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http://ceiis.mos.ru/presscenter/news/detail/11916781.html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16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16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2024-08-20T09:49:28Z</dcterms:created>
  <dcterms:modified xsi:type="dcterms:W3CDTF">2024-08-20T09:49:28Z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