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22678fd1da22c258425fe4bc78c43bff2c6e6c"/>
    <w:p>
      <w:pPr>
        <w:pStyle w:val="Heading3"/>
      </w:pPr>
      <w:r>
        <w:t xml:space="preserve">Специалисты «Центра экспертиз» провели обследование строящейся штаб-квартиры Яндекса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iCs/>
          <w:i/>
        </w:rPr>
        <w:t xml:space="preserve">Объект возводится на улице Академика Зельдовича. Общая площадь нового офисного комплекса превысит 262 тыс. кв. метров.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 здания. В том числе, провели оценку соответствия толщины защитного слоя бетона и шага армирования требованиям проектной документации. Во внутренних помещениях были выполнены работы по определению вертикальности колонн в железобетонных конструкциях и отклонению размеров оконных, дверных и других проемов в здании.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f9/pyyt7z86alxc83bo90fx2l65hyzzo1zd/IMG_52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59/zslk2mvyt82jqg0tmn7578ttvg24iq2d/IMG_52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http://ceiis.mos.ru/presscenter/news/detail/11788931.html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8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8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2025-02-21T15:39:24Z</dcterms:created>
  <dcterms:modified xsi:type="dcterms:W3CDTF">2025-02-21T15:39:24Z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