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21bfdc77d3bba1ca6c8d8be68d8d6ed1a8eb03"/>
    <w:p>
      <w:pPr>
        <w:pStyle w:val="Heading3"/>
      </w:pPr>
      <w:r>
        <w:t xml:space="preserve">Специалисты ГБУ «ЦЭИИС» провели инструментальное обследование строящемся жилом доме в ВАО Москвы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rPr>
          <w:iCs/>
          <w:i/>
        </w:rPr>
        <w:t xml:space="preserve">Работы проводились по адресу: Метрогородок, Открытое шоссе, владение 28/3.</w:t>
      </w:r>
    </w:p>
    <w:p>
      <w:pPr>
        <w:pStyle w:val="BodyText"/>
      </w:pPr>
      <w:r>
        <w:t xml:space="preserve">Сотрудники Органа инспекции «Центра экспертиз» провели оценку соответствия класса бетона по прочности на сжатие, толщину защитного слоя бетона и шага армирования, а также поверхность железобетонных конструкций и изделий требованиям проектной документации.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42/w3zjiipml8g1qelhgnt07cg8337v6bbo/IMG_24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066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5c/fexqhy4a4n1k2z942wjdvjzvz3wqa30j/IMG_24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http://ceiis.mos.ru/presscenter/news/detail/11706276.html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0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0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2025-02-19T16:12:15Z</dcterms:created>
  <dcterms:modified xsi:type="dcterms:W3CDTF">2025-02-19T16:12:15Z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