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cb5bf437700f9912453ae1851710f1a3d6b7bf"/>
    <w:p>
      <w:pPr>
        <w:pStyle w:val="Heading3"/>
      </w:pPr>
      <w:r>
        <w:t xml:space="preserve">Сотрудники ГБУ «ЦЭИИС» проинспектировали строительную площадку многофункционального центра в районе Люблино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rPr>
          <w:iCs/>
          <w:i/>
        </w:rPr>
        <w:t xml:space="preserve">Работы велись по адресу: микрорайон Люблино, дом 14, корп.101.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строящемся здании. В частности, была проведена оценка соответствия отклонения линий плоскостей пересечения от вертикали или проектного наклона на всю высоту конструкции и размеров поперечного сечения элементов требованиям технических регламентов и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f1/02fxiv4a9v1jrsmw9jb70zfurtcn4zsu/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71/jq8s2e250sp8hoq5463au7ydpn1eot3m/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были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http://ceiis.mos.ru/presscenter/news/detail/11680340.html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680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680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2025-07-09T18:47:58Z</dcterms:created>
  <dcterms:modified xsi:type="dcterms:W3CDTF">2025-07-09T18:47:58Z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