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c9ca02148b6759d94493e3f4b9de3be7b0c7c"/>
    <w:p>
      <w:pPr>
        <w:pStyle w:val="Heading3"/>
      </w:pPr>
      <w:r>
        <w:t xml:space="preserve">Специалисты Лаборатории испытаний строительных материалов и конструкций исследовали 464 образца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В мае 2023 года в подразделении Испытательного лабораторного центра ГБУ «ЦЭИИС» были проведены 115 государственных работ, включившие в себя испытания 464 образцов и проб строительных материалов, отобранных на строящихся объектах города Москвы, с целью определения их физико-механических показателей, технических и эксплуатационных характеристик.</w:t>
      </w:r>
    </w:p>
    <w:p>
      <w:pPr>
        <w:pStyle w:val="BodyText"/>
      </w:pPr>
      <w:r>
        <w:drawing>
          <wp:inline>
            <wp:extent cx="5334000" cy="8683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a1/stnhsg1psojmixxbzmrp3qa2zutxo23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8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Анализ результатов статистической обработки выполненных работ показывает, что наиболее востребованными из общего количества оказалось следующие три вида испытаний:</w:t>
      </w:r>
    </w:p>
    <w:p>
      <w:pPr>
        <w:pStyle w:val="BodyText"/>
      </w:pPr>
      <w:r>
        <w:t xml:space="preserve">· определение механических свойств арматурной стали – 35,7 %;</w:t>
      </w:r>
    </w:p>
    <w:p>
      <w:pPr>
        <w:pStyle w:val="BodyText"/>
      </w:pPr>
      <w:r>
        <w:t xml:space="preserve">· определение технических показателей плит из минеральной ваты и пенополистирола – 18,3 %;</w:t>
      </w:r>
    </w:p>
    <w:p>
      <w:pPr>
        <w:pStyle w:val="BodyText"/>
      </w:pPr>
      <w:r>
        <w:t xml:space="preserve">· испытание стеновых блоков из ячеистого бетона – 11,3 %.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http://ceiis.mos.ru/presscenter/news/detail/11625397.html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25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25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2024-08-20T03:31:40Z</dcterms:created>
  <dcterms:modified xsi:type="dcterms:W3CDTF">2024-08-20T03:31:40Z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