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b77e3d4f8b0c7bac7c584904f9c1f9f3fa85b"/>
    <w:p>
      <w:pPr>
        <w:pStyle w:val="Heading3"/>
      </w:pPr>
      <w:r>
        <w:t xml:space="preserve">Специалисты ГБУ «ЦЭИИС» провели инструментальное обследование строящегося ЖК в САО Москвы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rPr>
          <w:iCs/>
          <w:i/>
        </w:rPr>
        <w:t xml:space="preserve">Работы проводились по адресу: Ленинградский проспект, владение 37.</w:t>
      </w:r>
    </w:p>
    <w:p>
      <w:pPr>
        <w:pStyle w:val="BodyText"/>
      </w:pPr>
      <w:r>
        <w:t xml:space="preserve">Сотрудники Отделов геодезического контроля, обследования и экспертиз несущих и ограждающих конструкций, а также пожарного контроля и Отдела экспертиз зданий и сооружений на соответствие теплотехническим и акустическим требованиям «Центра экспертиз» выполнили ряд контрольных измерений и обследований на строящемся объекте.</w:t>
      </w:r>
      <w:r>
        <w:br/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16/5z6xtmeoyung25ty1vrqxa1yfs84t9my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http://ceiis.mos.ru/presscenter/news/detail/11518806.html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518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518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2025-02-19T17:15:38Z</dcterms:created>
  <dcterms:modified xsi:type="dcterms:W3CDTF">2025-02-19T17:15:38Z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