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6" w:name="X2dd82e17a2bdc26ee160eb83e2be62710c924bd"/>
    <w:p>
      <w:pPr>
        <w:pStyle w:val="Heading3"/>
      </w:pPr>
      <w:r>
        <w:t xml:space="preserve">Анализ изменений в требованиях пожарной безопасности систем отопления, вентиляции и кондиционирования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Современные тенденции развития строительной отрасли характеризуются усложнением архитектурно-планировочных решений, увеличением этажности зданий и появлением новых типов технологического оборудования. В этих условиях системы противопожарной защиты, включая инженерные системы отопления, вентиляции и кондиционирования, играют критически важную роль в обеспечении безопасности людей и сохранности материальных ценностей</w:t>
      </w:r>
      <w:r>
        <w:t xml:space="preserve"> </w:t>
      </w:r>
      <w:bookmarkStart w:id="20" w:name="fnref4"/>
      <w:bookmarkEnd w:id="20"/>
      <w:r>
        <w:t xml:space="preserve"> </w:t>
      </w:r>
      <w:bookmarkStart w:id="21" w:name="fnref5"/>
      <w:bookmarkEnd w:id="21"/>
      <w:r>
        <w:t xml:space="preserve"> </w:t>
      </w:r>
      <w:r>
        <w:t xml:space="preserve">.</w:t>
      </w:r>
    </w:p>
    <w:p>
      <w:pPr>
        <w:pStyle w:val="BodyText"/>
      </w:pPr>
      <w:r>
        <w:t xml:space="preserve">Федеральное государственное бюджетное учреждение "Всероссийский научно-исследовательский институт противопожарной обороны МЧС России" (ФГБУ ВНИИПО МЧС России) как головная научная организация в области пожарной безопасности провело масштабную работу по актуализации нормативных требований</w:t>
      </w:r>
      <w:r>
        <w:t xml:space="preserve"> </w:t>
      </w:r>
      <w:bookmarkStart w:id="22" w:name="fnref1:1"/>
      <w:bookmarkEnd w:id="22"/>
      <w:r>
        <w:t xml:space="preserve"> </w:t>
      </w:r>
      <w:r>
        <w:t xml:space="preserve">. Результатом этой деятельности стало Изменение № 3 к СП 7.13130.2013, утвержденное приказом МЧС России от 27.03.2025 № 251</w:t>
      </w:r>
      <w:r>
        <w:t xml:space="preserve"> </w:t>
      </w:r>
      <w:bookmarkStart w:id="23" w:name="fnref3:1"/>
      <w:bookmarkEnd w:id="23"/>
      <w:r>
        <w:t xml:space="preserve"> </w:t>
      </w:r>
      <w:bookmarkStart w:id="24" w:name="fnref6"/>
      <w:bookmarkEnd w:id="24"/>
      <w:r>
        <w:t xml:space="preserve"> </w:t>
      </w:r>
      <w:r>
        <w:t xml:space="preserve">.</w:t>
      </w:r>
    </w:p>
    <w:p>
      <w:pPr>
        <w:pStyle w:val="BodyText"/>
      </w:pPr>
      <w:r>
        <w:t xml:space="preserve">Цель настоящего исследования заключается в проведении комплексного анализа внесенных изменений, оценке их влияния на проектную практику и определении перспектив развития нормативной базы в области пожарной безопасности инженерных систем зданий.</w:t>
      </w:r>
    </w:p>
    <w:p>
      <w:pPr>
        <w:pStyle w:val="BodyText"/>
      </w:pPr>
      <w:r>
        <w:t xml:space="preserve">Одним из фундаментальных аспектов обновления свода правил стала систематизация терминологического аппарата. В раздел 3 "Термины и определения" внесены существенные дополнения, направленные на устранение неопределенностей в толковании ключевых понятий</w:t>
      </w:r>
      <w:r>
        <w:t xml:space="preserve"> </w:t>
      </w:r>
      <w:bookmarkStart w:id="25" w:name="fnref1:2"/>
      <w:bookmarkEnd w:id="25"/>
      <w:r>
        <w:t xml:space="preserve"> </w:t>
      </w:r>
      <w:r>
        <w:t xml:space="preserve">.</w:t>
      </w:r>
    </w:p>
    <w:p>
      <w:pPr>
        <w:pStyle w:val="BodyText"/>
      </w:pPr>
      <w:r>
        <w:t xml:space="preserve">Введение определения многоэтажного здания как "здания с числом этажей два и более" (пункт 3.22) устраняет ранее существовавшую терминологическую неточность и обеспечивает единообразное понимание данного понятия в контексте требований противопожарной защиты</w:t>
      </w:r>
      <w:r>
        <w:t xml:space="preserve"> </w:t>
      </w:r>
      <w:bookmarkStart w:id="26" w:name="fnref1:3"/>
      <w:bookmarkEnd w:id="26"/>
      <w:r>
        <w:t xml:space="preserve"> </w:t>
      </w:r>
      <w:r>
        <w:t xml:space="preserve">. Данное уточнение имеет практическое значение для определения объемов применения систем противодымной вентиляции в зданиях различной этажности.</w:t>
      </w:r>
    </w:p>
    <w:p>
      <w:pPr>
        <w:pStyle w:val="BodyText"/>
      </w:pPr>
      <w:r>
        <w:t xml:space="preserve">Новое понятие коридора безопасности (пункт 3.24) как "эвакуационного коридора, имеющего выход на лестничную клетку, выгороженного противопожарными преградами с пределом огнестойкости не менее установленного для внутренних стен лестничной клетки и защищаемого системами приточной противодымной вентиляции" конкретизирует требования к планировочным решениям эвакуационных путей</w:t>
      </w:r>
      <w:r>
        <w:t xml:space="preserve"> </w:t>
      </w:r>
      <w:bookmarkStart w:id="27" w:name="fnref1:4"/>
      <w:bookmarkEnd w:id="27"/>
      <w:r>
        <w:t xml:space="preserve"> </w:t>
      </w:r>
      <w:r>
        <w:t xml:space="preserve">.</w:t>
      </w:r>
    </w:p>
    <w:p>
      <w:pPr>
        <w:pStyle w:val="BodyText"/>
      </w:pPr>
      <w:r>
        <w:t xml:space="preserve">Введение термина «устройство подачи наружного воздуха» (пункт 3.25) систематизирует подходы к проектированию элементов систем приточной противодымной вентиляции, что способствует унификации проектных решений</w:t>
      </w:r>
      <w:r>
        <w:t xml:space="preserve"> </w:t>
      </w:r>
      <w:bookmarkStart w:id="28" w:name="fnref1:5"/>
      <w:bookmarkEnd w:id="28"/>
      <w:r>
        <w:t xml:space="preserve"> </w:t>
      </w:r>
      <w:r>
        <w:t xml:space="preserve">.</w:t>
      </w:r>
    </w:p>
    <w:p>
      <w:pPr>
        <w:pStyle w:val="BodyText"/>
      </w:pPr>
      <w:r>
        <w:t xml:space="preserve">Значительным нововведением стало включение в свод правил детальных требований к теплогенерирующим аппаратам, предназначенным для приготовления пищи, работающим на твердом топливе. Пункты 5.28-5.33 устанавливают комплексные требования к мангалам, тандырам и аналогичному оборудованию</w:t>
      </w:r>
      <w:r>
        <w:t xml:space="preserve"> </w:t>
      </w:r>
      <w:bookmarkStart w:id="29" w:name="fnref1:6"/>
      <w:bookmarkEnd w:id="29"/>
      <w:r>
        <w:t xml:space="preserve"> </w:t>
      </w:r>
      <w:bookmarkStart w:id="30" w:name="fnref4:1"/>
      <w:bookmarkEnd w:id="30"/>
      <w:r>
        <w:t xml:space="preserve"> </w:t>
      </w:r>
      <w:r>
        <w:t xml:space="preserve">.</w:t>
      </w:r>
    </w:p>
    <w:p>
      <w:pPr>
        <w:pStyle w:val="BodyText"/>
      </w:pPr>
      <w:r>
        <w:t xml:space="preserve">Основные требования включают:</w:t>
      </w:r>
    </w:p>
    <w:p>
      <w:pPr>
        <w:pStyle w:val="BodyText"/>
      </w:pPr>
      <w:r>
        <w:t xml:space="preserve">1. Обязательное удаление продуктов горения через дымоотвод наружу или в самостоятельный дымовой канал от вытяжного зонта (пункт 5.28).</w:t>
      </w:r>
    </w:p>
    <w:p>
      <w:pPr>
        <w:pStyle w:val="BodyText"/>
      </w:pPr>
      <w:r>
        <w:t xml:space="preserve">2. Негорючую отделку пола по периметру оборудования шириной не менее 500 мм (пункт 5.29).</w:t>
      </w:r>
    </w:p>
    <w:p>
      <w:pPr>
        <w:pStyle w:val="BodyText"/>
      </w:pPr>
      <w:r>
        <w:t xml:space="preserve">3. Минимальное расстояние 3,0 м от устройств до предметов из горючих материалов (пункт 5.29)</w:t>
      </w:r>
      <w:r>
        <w:t xml:space="preserve"> </w:t>
      </w:r>
      <w:bookmarkStart w:id="31" w:name="fnref1:7"/>
      <w:bookmarkEnd w:id="31"/>
      <w:r>
        <w:t xml:space="preserve"> </w:t>
      </w:r>
      <w:r>
        <w:t xml:space="preserve">.</w:t>
      </w:r>
    </w:p>
    <w:p>
      <w:pPr>
        <w:pStyle w:val="BodyText"/>
      </w:pPr>
      <w:r>
        <w:t xml:space="preserve">Особое внимание уделено гидрофильтрам как средству снижения температуры продуктов горения. Пункт 5.30 устанавливает требования к оснащению гидрофильтров датчиками температуры и давления, сблокированными с сигнализаторами, что обеспечивает контроль параметров их работы в реальном времени</w:t>
      </w:r>
      <w:r>
        <w:t xml:space="preserve"> </w:t>
      </w:r>
      <w:bookmarkStart w:id="32" w:name="fnref1:8"/>
      <w:bookmarkEnd w:id="32"/>
      <w:r>
        <w:t xml:space="preserve"> </w:t>
      </w:r>
      <w:r>
        <w:t xml:space="preserve">.</w:t>
      </w:r>
    </w:p>
    <w:p>
      <w:pPr>
        <w:pStyle w:val="BodyText"/>
      </w:pPr>
      <w:r>
        <w:t xml:space="preserve">Существенным изменением стала дифференциация требований к пределам огнестойкости воздуховодов в зависимости от степени огнестойкости зданий. В пункте 6.10 установлено, что воздуховоды в зданиях III и IV степеней огнестойкости должны иметь предел огнестойкости не менее EI 15, в отличие от ранее действовавшего единого требования EI 45 для всех зданий</w:t>
      </w:r>
      <w:r>
        <w:t xml:space="preserve"> </w:t>
      </w:r>
      <w:bookmarkStart w:id="33" w:name="fnref1:9"/>
      <w:bookmarkEnd w:id="33"/>
      <w:r>
        <w:t xml:space="preserve"> </w:t>
      </w:r>
      <w:r>
        <w:t xml:space="preserve">.</w:t>
      </w:r>
    </w:p>
    <w:p>
      <w:pPr>
        <w:pStyle w:val="BodyText"/>
      </w:pPr>
      <w:r>
        <w:t xml:space="preserve">Данное изменение основано на научных исследованиях ВНИИПО МЧС России, показавших возможность снижения требований к огнестойкости воздуховодов в зданиях с менее жесткими требованиями к огнестойкости строительных конструкций без ущерба для общего уровня пожарной безопасности</w:t>
      </w:r>
      <w:r>
        <w:t xml:space="preserve"> </w:t>
      </w:r>
      <w:bookmarkStart w:id="34" w:name="fnref1:10"/>
      <w:bookmarkEnd w:id="34"/>
      <w:r>
        <w:t xml:space="preserve"> </w:t>
      </w:r>
      <w:r>
        <w:t xml:space="preserve">.</w:t>
      </w:r>
    </w:p>
    <w:p>
      <w:pPr>
        <w:pStyle w:val="BodyText"/>
      </w:pPr>
      <w:r>
        <w:t xml:space="preserve">Полностью переработано приложение В "Пределы огнестойкости транзитных воздуховодов", в котором систематизированы требования к различным типам помещений и зданий. Новая таблица В.1 содержит дифференцированные требования в зависимости от категории помещений по взрывопожарной и пожарной опасности</w:t>
      </w:r>
      <w:r>
        <w:t xml:space="preserve"> </w:t>
      </w:r>
      <w:bookmarkStart w:id="35" w:name="fnref1:11"/>
      <w:bookmarkEnd w:id="35"/>
      <w:r>
        <w:t xml:space="preserve"> </w:t>
      </w:r>
      <w:r>
        <w:t xml:space="preserve">.</w:t>
      </w:r>
    </w:p>
    <w:p>
      <w:pPr>
        <w:pStyle w:val="BodyText"/>
      </w:pPr>
      <w:r>
        <w:t xml:space="preserve">Наиболее масштабные изменения затронули раздел 7 "Противодымная вентиляция", где в новой редакции изложены ключевые пункты 7.1-7.3, определяющие области применения систем противодымной вентиляции</w:t>
      </w:r>
      <w:r>
        <w:t xml:space="preserve"> </w:t>
      </w:r>
      <w:bookmarkStart w:id="36" w:name="fnref1:12"/>
      <w:bookmarkEnd w:id="36"/>
      <w:r>
        <w:t xml:space="preserve"> </w:t>
      </w:r>
      <w:bookmarkStart w:id="37" w:name="fnref4:2"/>
      <w:bookmarkEnd w:id="37"/>
      <w:r>
        <w:t xml:space="preserve"> </w:t>
      </w:r>
      <w:r>
        <w:t xml:space="preserve">.</w:t>
      </w:r>
    </w:p>
    <w:p>
      <w:pPr>
        <w:pStyle w:val="BodyText"/>
      </w:pPr>
      <w:r>
        <w:t xml:space="preserve">Пункт 7.1 в новой редакции устанавливает, что противодымную вентиляцию следует предусматривать для предотвращения поражающего воздействия на людей и (или) материальные ценности продуктов горения, распространяющихся во внутреннем объеме здания при возникновении пожара в одном помещении на одном из этажей одного пожарного отсека</w:t>
      </w:r>
      <w:r>
        <w:t xml:space="preserve"> </w:t>
      </w:r>
      <w:bookmarkStart w:id="38" w:name="fnref1:13"/>
      <w:bookmarkEnd w:id="38"/>
      <w:r>
        <w:t xml:space="preserve"> </w:t>
      </w:r>
      <w:r>
        <w:t xml:space="preserve">.</w:t>
      </w:r>
    </w:p>
    <w:p>
      <w:pPr>
        <w:pStyle w:val="BodyText"/>
      </w:pPr>
      <w:r>
        <w:t xml:space="preserve">Принципиальным нововведением стало требование о том, что системы приточной противодымной вентиляции должны применяться только в необходимом сочетании с системами вытяжной противодымной вентиляции. Обособленное применение систем приточной противодымной вентиляции без устройства систем вытяжной противодымной вентиляции не допускается</w:t>
      </w:r>
      <w:r>
        <w:t xml:space="preserve"> </w:t>
      </w:r>
      <w:bookmarkStart w:id="39" w:name="fnref1:14"/>
      <w:bookmarkEnd w:id="39"/>
      <w:r>
        <w:t xml:space="preserve"> </w:t>
      </w:r>
      <w:r>
        <w:t xml:space="preserve">.</w:t>
      </w:r>
    </w:p>
    <w:p>
      <w:pPr>
        <w:pStyle w:val="BodyText"/>
      </w:pPr>
      <w:r>
        <w:t xml:space="preserve">Пункт 7.2 в новой редакции значительно расширяет перечень объектов, подлежащих оборудованию системами вытяжной противодымной вентиляции. Новые требования включают:</w:t>
      </w:r>
    </w:p>
    <w:p>
      <w:pPr>
        <w:pStyle w:val="BodyText"/>
      </w:pPr>
      <w:r>
        <w:t xml:space="preserve">- Коридоры цокольных этажей жилых, общественных, административно-бытовых и многофункциональных зданий высотой более 28 м.</w:t>
      </w:r>
    </w:p>
    <w:p>
      <w:pPr>
        <w:pStyle w:val="BodyText"/>
      </w:pPr>
      <w:r>
        <w:t xml:space="preserve">- Производственные и складские помещения с постоянными рабочими местами различных категорий пожарной опасности.</w:t>
      </w:r>
    </w:p>
    <w:p>
      <w:pPr>
        <w:pStyle w:val="BodyText"/>
      </w:pPr>
      <w:r>
        <w:t xml:space="preserve">- Автодорожные, кабельные и технологические тоннели, встроенно-пристроенные к зданиям</w:t>
      </w:r>
      <w:r>
        <w:t xml:space="preserve"> </w:t>
      </w:r>
      <w:bookmarkStart w:id="40" w:name="fnref1:15"/>
      <w:bookmarkEnd w:id="40"/>
      <w:r>
        <w:t xml:space="preserve"> </w:t>
      </w:r>
      <w:r>
        <w:t xml:space="preserve">.</w:t>
      </w:r>
    </w:p>
    <w:p>
      <w:pPr>
        <w:pStyle w:val="BodyText"/>
      </w:pPr>
      <w:r>
        <w:t xml:space="preserve">Пункт 7.3 систематизирует исключения из требований по устройству противодымной вентиляции, что позволяет оптимизировать проектные решения для объектов с невысокой пожарной опасностью. Ключевые исключения касаются:</w:t>
      </w:r>
    </w:p>
    <w:p>
      <w:pPr>
        <w:pStyle w:val="BodyText"/>
      </w:pPr>
      <w:r>
        <w:t xml:space="preserve">- Помещений площадью до 200 м², оборудованных установками автоматического водяного или пенного пожаротушения.</w:t>
      </w:r>
    </w:p>
    <w:p>
      <w:pPr>
        <w:pStyle w:val="BodyText"/>
      </w:pPr>
      <w:r>
        <w:t xml:space="preserve">- Помещений, оборудованных установками автоматического газового, аэрозольного или порошкового пожаротушения.</w:t>
      </w:r>
    </w:p>
    <w:p>
      <w:pPr>
        <w:pStyle w:val="BodyText"/>
      </w:pPr>
      <w:r>
        <w:t xml:space="preserve">- Коридоров, если из всех сообщающихся с ними помещений предусмотрено непосредственное удаление продуктов горения</w:t>
      </w:r>
      <w:r>
        <w:t xml:space="preserve"> </w:t>
      </w:r>
      <w:bookmarkStart w:id="41" w:name="fnref1:16"/>
      <w:bookmarkEnd w:id="41"/>
      <w:r>
        <w:t xml:space="preserve"> </w:t>
      </w:r>
      <w:r>
        <w:t xml:space="preserve">.</w:t>
      </w:r>
    </w:p>
    <w:p>
      <w:pPr>
        <w:pStyle w:val="BodyText"/>
      </w:pPr>
      <w:r>
        <w:t xml:space="preserve">Одним из наиболее значимых технических нововведений стало включение в свод правил собственной методики расчета минимального количества дымоприемных устройств в составе системы вытяжной противодымной вентиляции (приложение Е)</w:t>
      </w:r>
      <w:r>
        <w:t xml:space="preserve"> </w:t>
      </w:r>
      <w:bookmarkStart w:id="42" w:name="fnref1:17"/>
      <w:bookmarkEnd w:id="42"/>
      <w:r>
        <w:t xml:space="preserve"> </w:t>
      </w:r>
      <w:bookmarkStart w:id="43" w:name="fnref7"/>
      <w:bookmarkEnd w:id="43"/>
      <w:r>
        <w:t xml:space="preserve"> </w:t>
      </w:r>
      <w:r>
        <w:t xml:space="preserve">.</w:t>
      </w:r>
    </w:p>
    <w:p>
      <w:pPr>
        <w:pStyle w:val="BodyText"/>
      </w:pPr>
      <w:r>
        <w:t xml:space="preserve">Данная методика позволяет проектировщикам более точно определять параметры систем противодымной вентиляции без необходимости использования норм для высотных зданий, что ранее приводило к избыточности проектных решений</w:t>
      </w:r>
      <w:r>
        <w:t xml:space="preserve"> </w:t>
      </w:r>
      <w:bookmarkStart w:id="44" w:name="fnref7:1"/>
      <w:bookmarkEnd w:id="44"/>
      <w:r>
        <w:t xml:space="preserve"> </w:t>
      </w:r>
      <w:r>
        <w:t xml:space="preserve">.</w:t>
      </w:r>
    </w:p>
    <w:p>
      <w:pPr>
        <w:pStyle w:val="BodyText"/>
      </w:pPr>
      <w:r>
        <w:t xml:space="preserve">Значительное внимание в изменениях уделено регулированию применения клапанов избыточного давления в противопожарном исполнении. Пункт 8.10 устанавливает детальные требования к их применению для поддержания перепада давления на дверях эвакуационных выходов в пределах нормативно установленных значений (от 20 Па до 150 Па)</w:t>
      </w:r>
      <w:r>
        <w:t xml:space="preserve"> </w:t>
      </w:r>
      <w:bookmarkStart w:id="45" w:name="fnref1:19"/>
      <w:bookmarkEnd w:id="45"/>
      <w:r>
        <w:t xml:space="preserve"> </w:t>
      </w:r>
      <w:r>
        <w:t xml:space="preserve">.</w:t>
      </w:r>
    </w:p>
    <w:p>
      <w:pPr>
        <w:pStyle w:val="BodyText"/>
      </w:pPr>
      <w:r>
        <w:t xml:space="preserve">Ключевые требования включают:</w:t>
      </w:r>
    </w:p>
    <w:p>
      <w:pPr>
        <w:pStyle w:val="BodyText"/>
      </w:pPr>
      <w:r>
        <w:t xml:space="preserve">- Обязательные испытания на огнестойкость и работоспособность в аккредитованных лабораториях.</w:t>
      </w:r>
    </w:p>
    <w:p>
      <w:pPr>
        <w:pStyle w:val="BodyText"/>
      </w:pPr>
      <w:r>
        <w:t xml:space="preserve">- Учет температурных режимов установки клапанов.</w:t>
      </w:r>
    </w:p>
    <w:p>
      <w:pPr>
        <w:pStyle w:val="BodyText"/>
      </w:pPr>
      <w:r>
        <w:t xml:space="preserve">- Защиту обычных клапанов дополнительными ограждениями при установке во внутренних конструкциях</w:t>
      </w:r>
      <w:r>
        <w:t xml:space="preserve"> </w:t>
      </w:r>
      <w:bookmarkStart w:id="46" w:name="fnref1:20"/>
      <w:bookmarkEnd w:id="46"/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Обновление стандартов испытаний</w:t>
      </w:r>
    </w:p>
    <w:p>
      <w:pPr>
        <w:pStyle w:val="BodyText"/>
      </w:pPr>
      <w:r>
        <w:t xml:space="preserve">Изменения включают актуализацию ссылок на современные ГОСТы:</w:t>
      </w:r>
    </w:p>
    <w:p>
      <w:pPr>
        <w:pStyle w:val="BodyText"/>
      </w:pPr>
      <w:r>
        <w:t xml:space="preserve">- ГОСТ Р 70848-2023 для клапанов избыточного давления.</w:t>
      </w:r>
    </w:p>
    <w:p>
      <w:pPr>
        <w:pStyle w:val="BodyText"/>
      </w:pPr>
      <w:r>
        <w:t xml:space="preserve">- ГОСТ Р 70849-2023 для обратных клапанов.</w:t>
      </w:r>
    </w:p>
    <w:p>
      <w:pPr>
        <w:pStyle w:val="BodyText"/>
      </w:pPr>
      <w:r>
        <w:t xml:space="preserve">- ГОСТ 34946-2023 для противодымных экранов</w:t>
      </w:r>
      <w:r>
        <w:t xml:space="preserve"> </w:t>
      </w:r>
      <w:bookmarkStart w:id="47" w:name="fnref1:21"/>
      <w:bookmarkEnd w:id="47"/>
      <w:r>
        <w:t xml:space="preserve"> </w:t>
      </w:r>
      <w:r>
        <w:t xml:space="preserve">.</w:t>
      </w:r>
    </w:p>
    <w:p>
      <w:pPr>
        <w:pStyle w:val="BodyText"/>
      </w:pPr>
      <w:r>
        <w:t xml:space="preserve">Анализ представленных изменений позволяет выделить несколько ключевых направлений влияния на проектную практику.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Положительные аспекты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Унификация расчетных методик - появление собственной методики расчета дымоприемных устройств устраняет необходимость использования норм для высотных зданий в типовых проектах.</w:t>
      </w:r>
    </w:p>
    <w:p>
      <w:pPr>
        <w:pStyle w:val="BodyText"/>
      </w:pPr>
      <w:r>
        <w:t xml:space="preserve">2. Оптимизация экономических затрат - дифференциация требований к огнестойкости воздуховодов позволяет снизить стоимость проектов для зданий III-IV степеней огнестойкости.</w:t>
      </w:r>
    </w:p>
    <w:p>
      <w:pPr>
        <w:pStyle w:val="BodyText"/>
      </w:pPr>
      <w:r>
        <w:t xml:space="preserve">3. Повышение точности проектирования - детализация требований к различным типам оборудования и систем</w:t>
      </w:r>
      <w:r>
        <w:t xml:space="preserve"> </w:t>
      </w:r>
      <w:bookmarkStart w:id="48" w:name="fnref5:1"/>
      <w:bookmarkEnd w:id="48"/>
      <w:r>
        <w:t xml:space="preserve"> </w:t>
      </w:r>
      <w:bookmarkStart w:id="49" w:name="fnref8"/>
      <w:bookmarkEnd w:id="49"/>
      <w:r>
        <w:t xml:space="preserve"> 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Вызовы внедрения</w:t>
      </w:r>
    </w:p>
    <w:p>
      <w:pPr>
        <w:pStyle w:val="BodyText"/>
      </w:pPr>
      <w:r>
        <w:t xml:space="preserve">1. Необходимость переобучения специалистов - масштабность изменений требует комплексного повышения квалификации проектировщиков.</w:t>
      </w:r>
    </w:p>
    <w:p>
      <w:pPr>
        <w:pStyle w:val="BodyText"/>
      </w:pPr>
      <w:r>
        <w:t xml:space="preserve">2. Адаптация программного обеспечения - требуется обновление расчетных программ для учета новых методик.</w:t>
      </w:r>
    </w:p>
    <w:p>
      <w:pPr>
        <w:pStyle w:val="BodyText"/>
      </w:pPr>
      <w:r>
        <w:t xml:space="preserve">3. Пересмотр типовых решений - существующие альбомы типовых решений требуют актуализации</w:t>
      </w:r>
      <w:r>
        <w:t xml:space="preserve"> </w:t>
      </w:r>
      <w:bookmarkStart w:id="50" w:name="fnref5:2"/>
      <w:bookmarkEnd w:id="50"/>
      <w:r>
        <w:t xml:space="preserve"> </w:t>
      </w:r>
      <w:bookmarkStart w:id="51" w:name="fnref9"/>
      <w:bookmarkEnd w:id="51"/>
      <w:r>
        <w:t xml:space="preserve"> </w:t>
      </w:r>
      <w:r>
        <w:t xml:space="preserve">.</w:t>
      </w:r>
    </w:p>
    <w:p>
      <w:pPr>
        <w:pStyle w:val="BodyText"/>
      </w:pPr>
      <w:r>
        <w:t xml:space="preserve">Для наглядной оценки масштаба изменений проведен сравнительный анализ ключевых параметров до и после внесения Изменения № 3 к СП 7.13130.2013: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center"/>
            </w:pPr>
            <w:r>
              <w:rPr>
                <w:bCs/>
                <w:b/>
              </w:rPr>
              <w:t xml:space="preserve">Параметр</w:t>
            </w:r>
          </w:p>
        </w:tc>
        <w:tc>
          <w:tcPr/>
          <w:p>
            <w:pPr>
              <w:jc w:val="center"/>
            </w:pPr>
            <w:r>
              <w:rPr>
                <w:bCs/>
                <w:b/>
              </w:rPr>
              <w:t xml:space="preserve">До изменения</w:t>
            </w:r>
          </w:p>
        </w:tc>
        <w:tc>
          <w:tcPr/>
          <w:p>
            <w:pPr>
              <w:jc w:val="center"/>
            </w:pPr>
            <w:r>
              <w:rPr>
                <w:bCs/>
                <w:b/>
              </w:rPr>
              <w:t xml:space="preserve">После изменения</w:t>
            </w:r>
          </w:p>
        </w:tc>
        <w:tc>
          <w:tcPr/>
          <w:p>
            <w:pPr>
              <w:jc w:val="center"/>
            </w:pPr>
            <w:r>
              <w:rPr>
                <w:bCs/>
                <w:b/>
              </w:rPr>
              <w:t xml:space="preserve">Влияние</w:t>
            </w:r>
          </w:p>
        </w:tc>
      </w:tr>
      <w:tr>
        <w:tc>
          <w:tcPr/>
          <w:p>
            <w:pPr>
              <w:jc w:val="center"/>
            </w:pPr>
            <w:r>
              <w:t xml:space="preserve">Методика расчета ДПУ</w:t>
            </w:r>
          </w:p>
        </w:tc>
        <w:tc>
          <w:tcPr/>
          <w:p>
            <w:pPr>
              <w:jc w:val="center"/>
            </w:pPr>
            <w:r>
              <w:t xml:space="preserve">Ссылка на СП 477.1325800.2020</w:t>
            </w:r>
          </w:p>
        </w:tc>
        <w:tc>
          <w:tcPr/>
          <w:p>
            <w:pPr>
              <w:jc w:val="center"/>
            </w:pPr>
            <w:r>
              <w:t xml:space="preserve">Собственная методика</w:t>
            </w:r>
          </w:p>
        </w:tc>
        <w:tc>
          <w:tcPr/>
          <w:p>
            <w:pPr>
              <w:jc w:val="center"/>
            </w:pPr>
            <w:r>
              <w:t xml:space="preserve">Высокое</w:t>
            </w:r>
          </w:p>
        </w:tc>
      </w:tr>
      <w:tr>
        <w:tc>
          <w:tcPr/>
          <w:p>
            <w:pPr>
              <w:jc w:val="center"/>
            </w:pPr>
            <w:r>
              <w:t xml:space="preserve">Огнестойкость воздуховодов</w:t>
            </w:r>
          </w:p>
        </w:tc>
        <w:tc>
          <w:tcPr/>
          <w:p>
            <w:pPr>
              <w:jc w:val="center"/>
            </w:pPr>
            <w:r>
              <w:t xml:space="preserve">EI45 универсально</w:t>
            </w:r>
          </w:p>
        </w:tc>
        <w:tc>
          <w:tcPr/>
          <w:p>
            <w:pPr>
              <w:jc w:val="center"/>
            </w:pPr>
            <w:r>
              <w:t xml:space="preserve">EI 30/EI15 дифференцированно</w:t>
            </w:r>
          </w:p>
        </w:tc>
        <w:tc>
          <w:tcPr/>
          <w:p>
            <w:pPr>
              <w:jc w:val="center"/>
            </w:pPr>
            <w:r>
              <w:t xml:space="preserve">Среднее</w:t>
            </w:r>
          </w:p>
        </w:tc>
      </w:tr>
      <w:tr>
        <w:tc>
          <w:tcPr/>
          <w:p>
            <w:pPr>
              <w:jc w:val="center"/>
            </w:pPr>
            <w:r>
              <w:t xml:space="preserve">Регулирование мангалов/тандыров</w:t>
            </w:r>
          </w:p>
        </w:tc>
        <w:tc>
          <w:tcPr/>
          <w:p>
            <w:pPr>
              <w:jc w:val="center"/>
            </w:pPr>
            <w:r>
              <w:t xml:space="preserve">Отсутствовало</w:t>
            </w:r>
          </w:p>
        </w:tc>
        <w:tc>
          <w:tcPr/>
          <w:p>
            <w:pPr>
              <w:jc w:val="center"/>
            </w:pPr>
            <w:r>
              <w:t xml:space="preserve">Детальные требования</w:t>
            </w:r>
          </w:p>
        </w:tc>
        <w:tc>
          <w:tcPr/>
          <w:p>
            <w:pPr>
              <w:jc w:val="center"/>
            </w:pPr>
            <w:r>
              <w:t xml:space="preserve">Новое</w:t>
            </w:r>
          </w:p>
        </w:tc>
      </w:tr>
      <w:tr>
        <w:tc>
          <w:tcPr/>
          <w:p>
            <w:pPr>
              <w:jc w:val="center"/>
            </w:pPr>
            <w:r>
              <w:t xml:space="preserve">Клапаны избыточного давления</w:t>
            </w:r>
          </w:p>
        </w:tc>
        <w:tc>
          <w:tcPr/>
          <w:p>
            <w:pPr>
              <w:jc w:val="center"/>
            </w:pPr>
            <w:r>
              <w:t xml:space="preserve">Общие требования</w:t>
            </w:r>
          </w:p>
        </w:tc>
        <w:tc>
          <w:tcPr/>
          <w:p>
            <w:pPr>
              <w:jc w:val="center"/>
            </w:pPr>
            <w:r>
              <w:t xml:space="preserve">Конкретные ГОСТы</w:t>
            </w:r>
          </w:p>
        </w:tc>
        <w:tc>
          <w:tcPr/>
          <w:p>
            <w:pPr>
              <w:jc w:val="center"/>
            </w:pPr>
            <w:r>
              <w:t xml:space="preserve">Высокое</w:t>
            </w:r>
          </w:p>
        </w:tc>
      </w:tr>
    </w:tbl>
    <w:p>
      <w:pPr>
        <w:pStyle w:val="BodyText"/>
      </w:pPr>
      <w:r>
        <w:t xml:space="preserve">Изменение № 3 к СП 7.13130.2013 представляет собой комплексную модернизацию нормативной базы проектирования систем отопления, вентиляции и кондиционирования, направленную на повышение эффективности противопожарной защиты при оптимизации экономических затрат</w:t>
      </w:r>
      <w:r>
        <w:t xml:space="preserve"> </w:t>
      </w:r>
      <w:bookmarkStart w:id="52" w:name="fnref2:1"/>
      <w:bookmarkEnd w:id="52"/>
      <w:r>
        <w:t xml:space="preserve"> </w:t>
      </w:r>
      <w:bookmarkStart w:id="53" w:name="fnref5:3"/>
      <w:bookmarkEnd w:id="53"/>
      <w:r>
        <w:t xml:space="preserve"> </w:t>
      </w:r>
      <w:r>
        <w:t xml:space="preserve">.</w:t>
      </w:r>
    </w:p>
    <w:p>
      <w:pPr>
        <w:pStyle w:val="BodyText"/>
      </w:pPr>
      <w:r>
        <w:t xml:space="preserve">Ключевые достижения изменений включают:</w:t>
      </w:r>
    </w:p>
    <w:p>
      <w:pPr>
        <w:pStyle w:val="BodyText"/>
      </w:pPr>
      <w:r>
        <w:t xml:space="preserve">1. Научно обоснованную методологическую базу - разработка собственных расчетных методик на основе фундаментальных исследований ВНИИПО МЧС России.</w:t>
      </w:r>
    </w:p>
    <w:p>
      <w:pPr>
        <w:pStyle w:val="BodyText"/>
      </w:pPr>
      <w:r>
        <w:t xml:space="preserve">2. Дифференцированный подход к нормированию требований в зависимости от типа и характеристик зданий.</w:t>
      </w:r>
    </w:p>
    <w:p>
      <w:pPr>
        <w:pStyle w:val="BodyText"/>
      </w:pPr>
      <w:r>
        <w:t xml:space="preserve">3. Комплексное регулирование новых видов технологического оборудования</w:t>
      </w:r>
    </w:p>
    <w:p>
      <w:pPr>
        <w:pStyle w:val="BodyText"/>
      </w:pPr>
      <w:r>
        <w:t xml:space="preserve">4. Актуализацию стандартной базы через обновление ссылок на современные ГОСТы.</w:t>
      </w:r>
    </w:p>
    <w:p>
      <w:pPr>
        <w:pStyle w:val="BodyText"/>
      </w:pPr>
      <w:r>
        <w:t xml:space="preserve">Внедрение изменений потребует значительных усилий от профессионального сообщества по переобучению специалистов, адаптации программного обеспечения и пересмотру существующих проектных решений. Однако долгосрочный эффект будет заключаться в повышении общего уровня пожарной безопасности зданий при оптимизации экономических затрат на реализацию противопожарных мероприятий.</w:t>
      </w:r>
    </w:p>
    <w:p>
      <w:pPr>
        <w:pStyle w:val="BodyText"/>
      </w:pPr>
      <w:r>
        <w:t xml:space="preserve">Дальнейшее развитие нормативной базы должно быть направлено на систематизацию накопленного опыта применения новых требований и их корректировку на основе практики проектирования и эксплуатации систем противопожарной защиты.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Список использованных нормативных документов</w:t>
      </w:r>
    </w:p>
    <w:p>
      <w:pPr>
        <w:pStyle w:val="BodyText"/>
      </w:pPr>
      <w:r>
        <w:t xml:space="preserve">1. СП 7.13130.2013 «Отопление, вентиляция и кондиционирование. Требования пожарной безопасности» с Изменением № 3</w:t>
      </w:r>
    </w:p>
    <w:p>
      <w:pPr>
        <w:pStyle w:val="BodyText"/>
      </w:pPr>
      <w:r>
        <w:t xml:space="preserve">2. Приказ МЧС России от 27.03.2025 № 251 «Об утверждении изменения № 3 к своду правил СП 7.13130.2013»</w:t>
      </w:r>
    </w:p>
    <w:p>
      <w:pPr>
        <w:pStyle w:val="BodyText"/>
      </w:pPr>
      <w:r>
        <w:t xml:space="preserve">3. Федеральный закон от 22 июля 2008 г. № 123-ФЗ «Технический регламент о требованиях пожарной безопасности»</w:t>
      </w:r>
    </w:p>
    <w:p>
      <w:pPr>
        <w:pStyle w:val="BodyText"/>
      </w:pPr>
      <w:r>
        <w:t xml:space="preserve">4. ГОСТ Р 70848-2023 «Оборудование противодымной защиты зданий и сооружений. Клапаны избыточного давления»</w:t>
      </w:r>
    </w:p>
    <w:p>
      <w:pPr>
        <w:pStyle w:val="BodyText"/>
      </w:pPr>
      <w:r>
        <w:t xml:space="preserve">5. ГОСТ Р 70849-2023 «Оборудование противодымной защиты зданий и сооружений. Клапаны обратные»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 </w:t>
      </w:r>
    </w:p>
    <w:p>
      <w:pPr>
        <w:pStyle w:val="BodyText"/>
      </w:pPr>
      <w:r>
        <w:rPr>
          <w:iCs/>
          <w:i/>
        </w:rPr>
        <w:t xml:space="preserve">Ведущий инженер-эксперт Отдела пожарного контроля ГБУ "ЦЭИИС"  Логинов А.М.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4">
        <w:r>
          <w:rPr>
            <w:rStyle w:val="Hyperlink"/>
          </w:rPr>
          <w:t xml:space="preserve">http://ceiis.mos.ru/presscenter/nauchno-publitsisticheskie-stati/detail/13064666.html</w:t>
        </w:r>
      </w:hyperlink>
    </w:p>
    <w:p>
      <w:pPr>
        <w:pStyle w:val="BodyText"/>
      </w:pPr>
      <w:hyperlink r:id="rId55">
        <w:r>
          <w:rPr>
            <w:rStyle w:val="Hyperlink"/>
          </w:rPr>
          <w:t xml:space="preserve">ГБУ города Москвы «ЦЭИИС»</w:t>
        </w:r>
      </w:hyperlink>
    </w:p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5" Target="http://ceiis.mos.ru" TargetMode="External" /><Relationship Type="http://schemas.openxmlformats.org/officeDocument/2006/relationships/hyperlink" Id="rId54" Target="http://ceiis.mos.ru/presscenter/nauchno-publitsisticheskie-stati/detail/13064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5" Target="http://ceiis.mos.ru" TargetMode="External" /><Relationship Type="http://schemas.openxmlformats.org/officeDocument/2006/relationships/hyperlink" Id="rId54" Target="http://ceiis.mos.ru/presscenter/nauchno-publitsisticheskie-stati/detail/13064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2025-08-05T14:54:57Z</dcterms:created>
  <dcterms:modified xsi:type="dcterms:W3CDTF">2025-08-05T14:54:57Z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