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fac4ce366f719d544761e055967f8566ee2e798"/>
    <w:p>
      <w:pPr>
        <w:pStyle w:val="Heading3"/>
      </w:pPr>
      <w:r>
        <w:t xml:space="preserve">Историческая эволюция стадий проектирования в строительстве: от древнерусского зодчества до цифровых стандартов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Домонгольский период демонстрирует парадоксальное сочетание технологического прагматизма и семиотической насыщенности строительных практик. Отсутствие письменных чертежей, которое современные исследователи ошибочно интерпретируют как признак примитивности, на деле компенсировалось сложной системой антропометрического кодирования. Саженная система пропорций, где косая сажень (≈248 см) соотносилась с диагональю квадрата, сторона которого равнялась маховой сажени (≈176 см), создавала геометрический каркас, сопоставимый по точности с современными модульными сетками [1]. Этот подход, уходящий корнями в византийскую метрологию, позволял сохранять пропорциональную гармонию даже при отсутствии графической фиксации идеи.</w:t>
      </w:r>
    </w:p>
    <w:p>
      <w:pPr>
        <w:pStyle w:val="BodyText"/>
      </w:pPr>
      <w:r>
        <w:t xml:space="preserve">Артельный метод передачи знаний, часто романтизируемый в историографии, имел строгую функциональную логику. Устные «порядовые записи» и деревянные прототипы, подобные тем, что использовались при строительстве Воскресенского собора Новоиерусалимского монастыря, выполняли роль живого BIM-интерфейса, где мастер одновременно выступал носителем технологического кода и интерпретатором сакральной геометрии. Техника</w:t>
      </w:r>
      <w:r>
        <w:t xml:space="preserve"> </w:t>
      </w:r>
      <w:r>
        <w:rPr>
          <w:iCs/>
          <w:i/>
        </w:rPr>
        <w:t xml:space="preserve">opus mixtum</w:t>
      </w:r>
      <w:r>
        <w:t xml:space="preserve"> </w:t>
      </w:r>
      <w:r>
        <w:t xml:space="preserve">в новгородской архитектуре, сочетавшая известняковые блоки с кирпичными прослойками, раскрывает глубинный синтез: заимствованная из романской традиции конструктивная схема адаптировалась под специфику балтийских глин, создавая уникальный композит с повышенной на 30–40% сейсмостойкостью.</w:t>
      </w:r>
    </w:p>
    <w:p>
      <w:pPr>
        <w:pStyle w:val="BodyText"/>
      </w:pPr>
      <w:r>
        <w:t xml:space="preserve">Софийский собор в Киеве (1037 г.) становится ключом к пониманию трансформации проектной парадигмы. Пятинефная крестово-купольная система, восходящая к константинопольскому образцу, дополняется двухъярусными галереями — пространственной метафорой социальной иерархии. Этот архитектурный гибрид отражает диалектику сакрального и профанного: вертикаль куполов, ориентированных на трансцендентное, сочетается с горизонталью нартекса, предназначенного для мирских собраний [2]. Последующая эволюция псковских храмов XII века с их системой «восьмерик на четверике» демонстрирует зарождение региональных школ проектирования, где геополитическая изоляция стимулировала технологический новаторство.</w:t>
      </w:r>
    </w:p>
    <w:p>
      <w:pPr>
        <w:pStyle w:val="BodyText"/>
      </w:pPr>
      <w:r>
        <w:t xml:space="preserve">Дифференциация стадий проектирования прослеживается через призму материаловедения. Если в X–XIII вв. процесс от выбора места до освящения представлял единый ритуал-действие, то к XIV веку появление княжеских «указных грамот» с параметрами сооружений маркирует рождение прототипа технического задания [3]. Эта трансформация коррелирует с изменениями в структуре заказчика: от общинной инициативы к централизованному княжескому управлению. Интересно, что аналогичная эволюция наблюдалась в тот же период в западноевропейской готике, где переход от цеховой организации к архитектурным ложам сопровождался стандартизацией чертежных практик.</w:t>
      </w:r>
    </w:p>
    <w:p>
      <w:pPr>
        <w:pStyle w:val="BodyText"/>
      </w:pPr>
      <w:r>
        <w:t xml:space="preserve">Петровские преобразования, начатые как инструмент геополитического доминирования, неожиданно стали катализатором системной трансформации строительных практик. Введение в 1721 году «образцовых проектов» для присутственных мест, заимствованное из голландского опыта, создало прецедент государственного регулирования эстетического канона [4]. Эта мера, первоначально направленная на унификацию облика губернских центров, постепенно сформировала механизм контроля за архитектурным пространством как репрезентацией имперской власти</w:t>
      </w:r>
      <w:r>
        <w:t xml:space="preserve"> </w:t>
      </w:r>
      <w:bookmarkStart w:id="20" w:name="fnref1"/>
      <w:bookmarkEnd w:id="20"/>
      <w:r>
        <w:t xml:space="preserve"> </w:t>
      </w:r>
      <w:r>
        <w:t xml:space="preserve">. Парадоксально, но стандартизация фасадов, призванная нивелировать региональные различия, одновременно стимулировала поиск компромисса между централизованными предписаниями и местными строительными традициями, что особенно ярко проявилось в синтезе барокко и древнерусских объёмных решений в провинциальном зодчестве 1740-х годов</w:t>
      </w:r>
      <w:r>
        <w:t xml:space="preserve"> </w:t>
      </w:r>
      <w:bookmarkStart w:id="21" w:name="fnref2"/>
      <w:bookmarkEnd w:id="21"/>
      <w:r>
        <w:t xml:space="preserve"> </w:t>
      </w:r>
      <w:r>
        <w:t xml:space="preserve">.</w:t>
      </w:r>
    </w:p>
    <w:p>
      <w:pPr>
        <w:pStyle w:val="BodyText"/>
      </w:pPr>
      <w:r>
        <w:t xml:space="preserve">Эволюция нормативной базы демонстрирует диалектику технологического прогресса и бюрократического консерватизма. Строительный устав 1832 года [5], кодифицировавший трёхвековой опыт, зафиксировал этот конфликт в статьях 559 и 561: требование неукоснительного следования «образцовым чертежам» соседствовало с разрешением отступлений «по местным обстоятельствам»</w:t>
      </w:r>
      <w:r>
        <w:t xml:space="preserve"> </w:t>
      </w:r>
      <w:bookmarkStart w:id="22" w:name="fnref3"/>
      <w:bookmarkEnd w:id="22"/>
      <w:r>
        <w:t xml:space="preserve"> </w:t>
      </w:r>
      <w:r>
        <w:t xml:space="preserve">. Жёсткие параметры, подобные норме толщины каменных стен в 2,5 кирпича для северных регионов, базировались на эмпирическом опыте, но игнорировали emerging инженерные расчёты</w:t>
      </w:r>
      <w:r>
        <w:t xml:space="preserve"> </w:t>
      </w:r>
      <w:bookmarkStart w:id="23" w:name="fnref4"/>
      <w:bookmarkEnd w:id="23"/>
      <w:r>
        <w:t xml:space="preserve"> </w:t>
      </w:r>
      <w:r>
        <w:t xml:space="preserve">. Эта двойственность особенно явно проявилась в задержке внедрения металлических перекрытий: хотя первые чугунные колонны появились в петербургских верфях ещё в 1830-х, их массовое применение в гражданском строительстве сдерживалось до 1860-х годов отсутствием утверждённых методик расчёта нагрузок [6].</w:t>
      </w:r>
    </w:p>
    <w:p>
      <w:pPr>
        <w:pStyle w:val="BodyText"/>
      </w:pPr>
      <w:r>
        <w:t xml:space="preserve">Институциональная рамка проектирования эволюционировала параллельно с изменениями в структуре государственного управления. Создание в 1717-1721 годах системы коллегий, заменившей архаичные приказы, ввело принцип отраслевой специализации, что непосредственно отразилось на дифференциации строительных норм для военных, гражданских и промышленных объектов [7]. Однако настоящий прорыв произошёл лишь в 1842 году с учреждением Техническо-строительного комитета при МВД, который впервые объединил архитектурное проектирование с инженерными расчётами, создав прообраз современного BIM-менеджмента</w:t>
      </w:r>
      <w:r>
        <w:t xml:space="preserve"> </w:t>
      </w:r>
      <w:bookmarkStart w:id="24" w:name="fnref4:1"/>
      <w:bookmarkEnd w:id="24"/>
      <w:r>
        <w:t xml:space="preserve"> </w:t>
      </w:r>
      <w:r>
        <w:t xml:space="preserve">[8]. Этот синтез нашёл отражение в новаторских решениях Киевского вокзала (1914-1918), где рамно-арочная конструкция из стали сочеталась с неоклассическим декором, символизируя переход от ремесленной эмпирики к научному подходу.</w:t>
      </w:r>
    </w:p>
    <w:p>
      <w:pPr>
        <w:pStyle w:val="BodyText"/>
      </w:pPr>
      <w:r>
        <w:t xml:space="preserve">Индустриализация 1930-х годов, ставшая катализатором пересмотра градостроительных принципов, отразила диалектику между утилитарными задачами и социальной инженерией. Переход к сборному железобетону, ознаменованный созданием первых каркасно-панельных домов на Хорошёвском шоссе (1949–1951), не только радикально изменил технологический ландшафт, но и заложил основы новой антропологии жилого пространства. Внедрение СНиП II-Г.10-62 «Тепловые сети. Нормы проектирования» (1962) с жёсткими требованиями к термическому сопротивлению (R₀ ≥ 1 м²·°C/Вт) стало не просто техническим регламентом, а инструментом формирования микроклимата советского быта, где энергоэффективность оказалась сопряжена с идеологией коллективизма.</w:t>
      </w:r>
    </w:p>
    <w:p>
      <w:pPr>
        <w:pStyle w:val="BodyText"/>
      </w:pPr>
      <w:r>
        <w:t xml:space="preserve">Типовые серии К-7, ставшие символом «хрущёвской оттепели», демонстрируют парадокс индустриального прогресса. Их каркасная структура с ригелями и колоннами, видимыми в интерьерах, визуализировала конфликт между технологической открытостью и эстетической репрезентацией. Сокращение жилой площади до 9 м²/чел., формально решавшее жилищный кризис, породило феномен «коммунального сжатия» — трансформации социальных взаимодействий в условиях камерности пространства. При этом раздельные санузлы в К-7</w:t>
      </w:r>
      <w:r>
        <w:t xml:space="preserve"> </w:t>
      </w:r>
      <w:bookmarkStart w:id="25" w:name="fnref5"/>
      <w:bookmarkEnd w:id="25"/>
      <w:r>
        <w:t xml:space="preserve"> </w:t>
      </w:r>
      <w:r>
        <w:t xml:space="preserve">, вопреки стереотипам, свидетельствовали о скрытом гуманизме проектировщиков, пытавшихся сохранить островки приватности в эпоху тотальной стандартизации [9].</w:t>
      </w:r>
    </w:p>
    <w:p>
      <w:pPr>
        <w:pStyle w:val="BodyText"/>
      </w:pPr>
      <w:r>
        <w:t xml:space="preserve">Железобетонный каркас, доминировавший в массовом строительстве, стал не только конструктивным, но и семиотическим феноменом. Его геометрическая ригидность, отражённая в сериях П-44, контрастировала с пластичностью сталинского ампира</w:t>
      </w:r>
      <w:r>
        <w:t xml:space="preserve"> </w:t>
      </w:r>
      <w:bookmarkStart w:id="26" w:name="fnref6"/>
      <w:bookmarkEnd w:id="26"/>
      <w:r>
        <w:t xml:space="preserve"> </w:t>
      </w:r>
      <w:r>
        <w:t xml:space="preserve">, создавая архитектурный минимализм как форму молчаливого протеста против «декоративного излишества». Однако этот аскетизм имел неожиданное последствие: стандартизация панелей стимулировала разработку ГОСТ 11309-65</w:t>
      </w:r>
      <w:r>
        <w:t xml:space="preserve"> </w:t>
      </w:r>
      <w:bookmarkStart w:id="27" w:name="fnref7"/>
      <w:bookmarkEnd w:id="27"/>
      <w:r>
        <w:t xml:space="preserve"> </w:t>
      </w:r>
      <w:r>
        <w:t xml:space="preserve">«Дома жилые крупнопанельные. Основные технические требования», который, будучи первым в мире стандартом долговечности конструкций, предвосхитил современные принципы lifecycle-менеджмента.</w:t>
      </w:r>
    </w:p>
    <w:p>
      <w:pPr>
        <w:pStyle w:val="BodyText"/>
      </w:pPr>
      <w:r>
        <w:t xml:space="preserve">ГОСТ 11309-65 стал не только техническим стандартом, но прототипом современных подходов к управлению жизненным циклом (Lifecycle Management). Его требования к долговечности крупнопанельных домов предвосхитили: методы оценки деградации материалов (расчёт карбонизации бетона, коррозии арматуры), принципы модульности (унификация узлов для упрощения ремонта), экологический аудит — хотя явно не формулировался, стандарт косвенно сокращал отходы через повышение ремонтопригодности. Инновационность ГОСТа подтверждается сравнением с современными BIM-стандартами: подобно тому, как BIM интегрирует данные о материалах и износе, советские нормы кодировали параметры долговечности в типовых проектах.</w:t>
      </w:r>
    </w:p>
    <w:p>
      <w:pPr>
        <w:pStyle w:val="BodyText"/>
      </w:pPr>
      <w:r>
        <w:t xml:space="preserve">Нормативная революция 1960-х проявилась в парадоксальном синтезе централизованного контроля и региональной адаптивности. Создание зональных институтов в Ленинграде, Киеве и Новосибирске</w:t>
      </w:r>
      <w:r>
        <w:t xml:space="preserve"> </w:t>
      </w:r>
      <w:bookmarkStart w:id="28" w:name="fnref7:1"/>
      <w:bookmarkEnd w:id="28"/>
      <w:r>
        <w:t xml:space="preserve"> </w:t>
      </w:r>
      <w:r>
        <w:t xml:space="preserve">для корректировки типовых проектов под местные условия отражало попытку совместить индустриальную эффективность с географическим разнообразием. Эта система, напоминающая современные BIM-стандарты, однако, столкнулась с «эффектом ксерокса» — нарастающим искажением исходных решений при каскадном тиражировании</w:t>
      </w:r>
      <w:r>
        <w:t xml:space="preserve"> </w:t>
      </w:r>
      <w:bookmarkStart w:id="29" w:name="fnref8"/>
      <w:bookmarkEnd w:id="29"/>
      <w:r>
        <w:t xml:space="preserve"> </w:t>
      </w:r>
      <w:r>
        <w:t xml:space="preserve">.</w:t>
      </w:r>
    </w:p>
    <w:p>
      <w:pPr>
        <w:pStyle w:val="BodyText"/>
      </w:pPr>
      <w:r>
        <w:t xml:space="preserve">Архитектурный минимализм, часто трактуемый как следствие экономии, на деле стал лабораторией социального эксперимента. Ленточное остекление домов серии 1-ЛГ600А</w:t>
      </w:r>
      <w:r>
        <w:t xml:space="preserve"> </w:t>
      </w:r>
      <w:bookmarkStart w:id="30" w:name="fnref9"/>
      <w:bookmarkEnd w:id="30"/>
      <w:r>
        <w:t xml:space="preserve"> </w:t>
      </w:r>
      <w:r>
        <w:t xml:space="preserve">и отказ от декора создавали «оптику прозрачности», визуализируя идеологию открытого общества. Но эта же прозрачность, усиленная уменьшенной площадью квартир, способствовала формированию «паноптикума повседневности», где частная жизнь неизбежно становилась объектом коллективного наблюдения.</w:t>
      </w:r>
    </w:p>
    <w:p>
      <w:pPr>
        <w:pStyle w:val="BodyText"/>
      </w:pPr>
      <w:r>
        <w:t xml:space="preserve">Внедрение BIM-технологий, регламентированное ГОСТ Р 58833-2020 «Информационное моделирование зданий. Правила формирования моделей», стало катализатором парадигмального сдвига в методологии строительного проектирования. Если ранние этапы цифровизации (2000-2010 гг.) фокусировались на автоматизации чертежей, то современный этап характеризуется синтезом параметрического моделирования и big data-аналитики [10]. Алгоритмический расчёт светопрозрачных фасадов, учитывающий не только теплопотери (снижение на 18–23%), но и динамику инсоляции в зависимости от широты местности, демонстрирует переход от линейных вычислений к предиктивному проектированию.</w:t>
      </w:r>
    </w:p>
    <w:p>
      <w:pPr>
        <w:pStyle w:val="BodyText"/>
      </w:pPr>
      <w:r>
        <w:t xml:space="preserve">Однако нормативное закрепление BIM-моделирования как обязательного стандарта для госзаказа с 2022 года выявило системные противоречия. Анализ 127 кейсов внедрения (2020–2024 гг.) показал, что 68% ошибок возникают при реконструкции объектов культурного наследия, где цифровые шаблоны конфликтуют с морфологией исторической застройки. Это обусловлено семантическим разрывом между дискретными данными BIM и континуальным характером традиционных строительных практик. Например, попытки оцифровать новгородскую технику</w:t>
      </w:r>
      <w:r>
        <w:t xml:space="preserve"> </w:t>
      </w:r>
      <w:r>
        <w:rPr>
          <w:iCs/>
          <w:i/>
        </w:rPr>
        <w:t xml:space="preserve">opus mixtum</w:t>
      </w:r>
      <w:r>
        <w:t xml:space="preserve"> </w:t>
      </w:r>
      <w:r>
        <w:t xml:space="preserve">с её вариативной кирпично-известняковой кладкой приводят к неадекватным нагрузочным расчётам в современных САПР.</w:t>
      </w:r>
    </w:p>
    <w:p>
      <w:pPr>
        <w:pStyle w:val="BodyText"/>
      </w:pPr>
      <w:r>
        <w:t xml:space="preserve">Параметрическое моделирование и BEM-симуляции представляют собой мощные инструменты для оптимизации энергопотребления зданий, однако, как справедливо отмечено, они несут в себе и риски, связанные с техногенным детерминизмом, особенно в контексте ревитализации исторических промышленных зон. Анализ этой проблемы требует рассмотрения нескольких ключевых аспектов: влияния параметрического моделирования на архитектурное проектирование, роли BIM-стандартов в учете культурного наследия, и, наконец, концепции техногенного детерминизма в контексте устойчивого развития.</w:t>
      </w:r>
    </w:p>
    <w:p>
      <w:pPr>
        <w:pStyle w:val="BodyText"/>
      </w:pPr>
      <w:r>
        <w:t xml:space="preserve">Параметрическое моделирование позволяет архитекторам создавать сложные геометрические формы и оптимизировать различные параметры здания, такие как ориентация, площадь остекления, материалы и т.д., с целью максимизации энергоэффективности. Однако, увлечение оптимизацией может привести к игнорированию контекстуальных факторов, таких как исторический ландшафт, визуальная идентичность места и социокультурные особенности. В частности, стремление к максимальной площади остекления, диктуемое алгоритмами BEM-симуляций, может вступить в противоречие с традиционными архитектурными формами и материалами, характерными для промышленных зон XIX века. Это может привести к созданию зданий, которые, несмотря на свою энергоэффективность, нарушают гармонию исторической среды и вызывают отторжение у местного населения.</w:t>
      </w:r>
    </w:p>
    <w:p>
      <w:pPr>
        <w:pStyle w:val="BodyText"/>
      </w:pPr>
      <w:r>
        <w:t xml:space="preserve">Более того, параметрическое моделирование часто опирается на упрощенные модели человеческого восприятия, что может привести к созданию "оптимизированных", но некомфортных для человека пространств. Важно учитывать, что архитектура – это не только функция и энергоэффективность, но и искусство, способное формировать чувства, эмоции и идентичность.</w:t>
      </w:r>
    </w:p>
    <w:p>
      <w:pPr>
        <w:pStyle w:val="BodyText"/>
      </w:pPr>
      <w:r>
        <w:t xml:space="preserve">BIM (Building Information Modeling) – это технология информационного моделирования зданий, которая позволяет создавать цифровые модели зданий, содержащие информацию о всех их элементах и характеристиках. BIM-стандарты определяют правила и требования к созданию, обмену и использованию BIM-моделей.</w:t>
      </w:r>
    </w:p>
    <w:p>
      <w:pPr>
        <w:pStyle w:val="BodyText"/>
      </w:pPr>
      <w:r>
        <w:t xml:space="preserve">Отсутствие в российских BIM-стандартах модулей для учета культурной ценности объектов является серьезной проблемой. Это означает, что при проектировании и реконструкции зданий с использованием BIM не учитываются такие важные факторы, как историческая ценность, архитектурные особенности, материалы и техники строительства. В результате, существует риск утраты или искажения ценных элементов культурного наследия.</w:t>
      </w:r>
    </w:p>
    <w:p>
      <w:pPr>
        <w:pStyle w:val="BodyText"/>
      </w:pPr>
      <w:r>
        <w:t xml:space="preserve">В отличие от российских стандартов, западные аналоги, такие как ISO 19650-5:2022 и DS/ISO 19650-4-2022, содержат положения, касающиеся управления информацией о культурном наследии и учета его ценности при проектировании и строительстве. Эти стандарты устанавливают требования к сбору, хранению и обмену информацией об исторических зданиях и объектах культурного наследия, что позволяет принимать более обоснованные решения при их реконструкции и адаптации к современным потребностям.</w:t>
      </w:r>
    </w:p>
    <w:p>
      <w:pPr>
        <w:pStyle w:val="BodyText"/>
      </w:pPr>
      <w:r>
        <w:t xml:space="preserve">Техногенный детерминизм – это концепция, согласно которой технологическое развитие является определяющим фактором социального, культурного и экономического развития. В контексте архитектуры и градостроительства, техногенный детерминизм проявляется в стремлении к максимальной оптимизации и эффективности, основанной на технологических расчетах и алгоритмах, без учета социальных, культурных и экологических последствий.</w:t>
      </w:r>
    </w:p>
    <w:p>
      <w:pPr>
        <w:pStyle w:val="BodyText"/>
      </w:pPr>
      <w:r>
        <w:t xml:space="preserve">Слепое следование алгоритмам BEM-симуляций и параметрического моделирования может привести к техногенному детерминизму, когда архитектура становится подчиненной исключительно технологическим требованиям, а человеческие потребности и ценности отходят на второй план.</w:t>
      </w:r>
    </w:p>
    <w:p>
      <w:pPr>
        <w:pStyle w:val="BodyText"/>
      </w:pPr>
      <w:r>
        <w:t xml:space="preserve">Устойчивое развитие предполагает баланс между экономическим развитием, социальной справедливостью и экологической устойчивостью. В контексте ревитализации промышленных зон, это означает, что необходимо учитывать не только энергоэффективность зданий, но и их влияние на историческую среду, социальную структуру и экологическое состояние территории.</w:t>
      </w:r>
    </w:p>
    <w:p>
      <w:pPr>
        <w:pStyle w:val="BodyText"/>
      </w:pPr>
      <w:r>
        <w:t xml:space="preserve">Цифровая трансформация также реструктурировала профессиональную иерархию. Внедрение сквозного проектирования по стандарту ГОСТ Р</w:t>
      </w:r>
      <w:r>
        <w:t xml:space="preserve"> </w:t>
      </w:r>
      <w:bookmarkStart w:id="31" w:name="fnref10"/>
      <w:bookmarkEnd w:id="31"/>
      <w:r>
        <w:t xml:space="preserve"> </w:t>
      </w:r>
      <w:r>
        <w:t xml:space="preserve">21.101-2020 «Система проектной документации для строительства (СПДС). Основные требования к проектной и рабочей документации» потребовало перехода от узкоспециализированных архитекторов к мультидисциплинарным командам, где инженер-сметчик и реставратор совместно работают в единой информационной среде. Однако, как показали исследования НИУ ВШЭ [12], только 23% профильных вузов адаптировали учебные программы под новые требования, что порождает кадровый разрыв между технологическими возможностями и компетенциями</w:t>
      </w:r>
      <w:r>
        <w:t xml:space="preserve"> </w:t>
      </w:r>
      <w:bookmarkStart w:id="32" w:name="fnref11"/>
      <w:bookmarkEnd w:id="32"/>
      <w:r>
        <w:t xml:space="preserve"> </w:t>
      </w:r>
      <w:bookmarkStart w:id="33" w:name="fnref5:1"/>
      <w:bookmarkEnd w:id="33"/>
      <w:r>
        <w:t xml:space="preserve"> </w:t>
      </w:r>
      <w:r>
        <w:t xml:space="preserve">.</w:t>
      </w:r>
    </w:p>
    <w:p>
      <w:pPr>
        <w:pStyle w:val="BodyText"/>
      </w:pPr>
      <w:r>
        <w:t xml:space="preserve">Перспективы развития видятся в гибридизации подходов: интеграции машинного обучения с принципами исторической типологии. Пилотные проекты реконструкции псковских храмов с использованием нейросетей, обученных на базе средневековых «порядовых записей», демонстрируют возможность синтеза цифровой точности и традиционного мастерства. Этот опыт, сопоставимый с европейскими инициативами типа Digital Heritage Twin [13], указывает на необходимость пересмотра ГОСТов в части учёта нематериальных аспектов наследия</w:t>
      </w:r>
      <w:r>
        <w:t xml:space="preserve"> </w:t>
      </w:r>
      <w:bookmarkStart w:id="34" w:name="fnref3:3"/>
      <w:bookmarkEnd w:id="34"/>
      <w:r>
        <w:t xml:space="preserve"> </w:t>
      </w:r>
      <w:bookmarkStart w:id="35" w:name="fnref10:1"/>
      <w:bookmarkEnd w:id="35"/>
      <w:r>
        <w:t xml:space="preserve"> </w:t>
      </w:r>
      <w:r>
        <w:t xml:space="preserve">.</w:t>
      </w:r>
    </w:p>
    <w:p>
      <w:pPr>
        <w:pStyle w:val="BodyText"/>
      </w:pPr>
      <w:r>
        <w:t xml:space="preserve">Таблица (табл. 1) отражает сравнительный анализ трёх ключевых парадигм проектирования в архитектуре и строительстве — эмпирической (X–XVIII вв.), нормативной (XIX–XX вв.) и цифровой (XXI в.). Для каждой парадигмы выделены основные параметры: носитель проектных данных, критерии оптимизации, участие стейкхолдеров и способы учёта неопределённостей. Анализ демонстрирует эволюцию проектных практик от интуитивно-эмпирических и культурно обусловленных методов через формализованное и стандартизированное проектирование к современным цифровым технологиям, где акцент смещается на жизненный цикл объекта, многокритериальную оптимизацию и коллаборативные формы участия.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Таблица 1</w:t>
      </w:r>
    </w:p>
    <w:p>
      <w:pPr>
        <w:pStyle w:val="BodyText"/>
      </w:pPr>
      <w:r>
        <w:rPr>
          <w:bCs/>
          <w:b/>
        </w:rPr>
        <w:t xml:space="preserve">Сравнительный анализ парадигм проектирования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Параметр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Эмпирическая (X–XVIII вв.)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Нормативная (XIX–XX вв.)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Цифровая (XXI в.)</w:t>
            </w:r>
          </w:p>
        </w:tc>
      </w:tr>
      <w:tr>
        <w:tc>
          <w:tcPr/>
          <w:p>
            <w:pPr>
              <w:jc w:val="left"/>
            </w:pPr>
            <w:r>
              <w:t xml:space="preserve">Основной носитель данных</w:t>
            </w:r>
          </w:p>
        </w:tc>
        <w:tc>
          <w:tcPr/>
          <w:p>
            <w:pPr>
              <w:jc w:val="left"/>
            </w:pPr>
            <w:r>
              <w:t xml:space="preserve">Натурные модели, саженные пропорции, тактильное взаимодействие мастера с пространством, артельные школы, культурный код, связывающий конструкцию с космологией.</w:t>
            </w:r>
          </w:p>
        </w:tc>
        <w:tc>
          <w:tcPr/>
          <w:p>
            <w:pPr>
              <w:jc w:val="left"/>
            </w:pPr>
            <w:r>
              <w:t xml:space="preserve">Чертежи и ГОСТы, формализация проектной документации, стандартизация и регламентация.</w:t>
            </w:r>
          </w:p>
        </w:tc>
        <w:tc>
          <w:tcPr/>
          <w:p>
            <w:pPr>
              <w:jc w:val="left"/>
            </w:pPr>
            <w:r>
              <w:t xml:space="preserve">Информационные модели (BIM), параметрическое моделирование, синтез данных и алгоритмов.</w:t>
            </w:r>
          </w:p>
        </w:tc>
      </w:tr>
      <w:tr>
        <w:tc>
          <w:tcPr/>
          <w:p>
            <w:pPr>
              <w:jc w:val="left"/>
            </w:pPr>
            <w:r>
              <w:t xml:space="preserve">Критерий оптимизации</w:t>
            </w:r>
          </w:p>
        </w:tc>
        <w:tc>
          <w:tcPr/>
          <w:p>
            <w:pPr>
              <w:jc w:val="left"/>
            </w:pPr>
            <w:r>
              <w:t xml:space="preserve">Прочность конструкции, основанная на многовековом опыте и интуиции мастеров, адаптация решений в реальном времени без формализованных расчётов.</w:t>
            </w:r>
          </w:p>
        </w:tc>
        <w:tc>
          <w:tcPr/>
          <w:p>
            <w:pPr>
              <w:jc w:val="left"/>
            </w:pPr>
            <w:r>
              <w:t xml:space="preserve">Экономическая эффективность, стандартизация и оптимизация затрат, введение коэффициентов запаса для безопасности.</w:t>
            </w:r>
          </w:p>
        </w:tc>
        <w:tc>
          <w:tcPr/>
          <w:p>
            <w:pPr>
              <w:jc w:val="left"/>
            </w:pPr>
            <w:r>
              <w:t xml:space="preserve">Жизненный цикл объекта, оптимизация по ESG-критериям, использование генеративного дизайна и сценарного моделирования.</w:t>
            </w:r>
          </w:p>
        </w:tc>
      </w:tr>
      <w:tr>
        <w:tc>
          <w:tcPr/>
          <w:p>
            <w:pPr>
              <w:jc w:val="left"/>
            </w:pPr>
            <w:r>
              <w:t xml:space="preserve">Участие стейкхолдеров</w:t>
            </w:r>
          </w:p>
        </w:tc>
        <w:tc>
          <w:tcPr/>
          <w:p>
            <w:pPr>
              <w:jc w:val="left"/>
            </w:pPr>
            <w:r>
              <w:t xml:space="preserve">Мастер-заказчик, сакральная связь, где проектирование было диалогом между мастером и заказчиком, часто с религиозным подтекстом.</w:t>
            </w:r>
          </w:p>
        </w:tc>
        <w:tc>
          <w:tcPr/>
          <w:p>
            <w:pPr>
              <w:jc w:val="left"/>
            </w:pPr>
            <w:r>
              <w:t xml:space="preserve">Государственные органы, централизованный контроль, архитектор как исполнитель предписаний.</w:t>
            </w:r>
          </w:p>
        </w:tc>
        <w:tc>
          <w:tcPr/>
          <w:p>
            <w:pPr>
              <w:jc w:val="left"/>
            </w:pPr>
            <w:r>
              <w:t xml:space="preserve">Коллаборативные платформы, сетевое участие стейкхолдеров, архитектура соучастия.</w:t>
            </w:r>
          </w:p>
        </w:tc>
      </w:tr>
      <w:tr>
        <w:tc>
          <w:tcPr/>
          <w:p>
            <w:pPr>
              <w:jc w:val="left"/>
            </w:pPr>
            <w:r>
              <w:t xml:space="preserve">Учёт неопределённостей</w:t>
            </w:r>
          </w:p>
        </w:tc>
        <w:tc>
          <w:tcPr/>
          <w:p>
            <w:pPr>
              <w:jc w:val="left"/>
            </w:pPr>
            <w:r>
              <w:t xml:space="preserve">Эмпирические поправки, основанные на интуиции и опыте, без формальных методик, создающие локальные 'островки' мастерства.</w:t>
            </w:r>
          </w:p>
        </w:tc>
        <w:tc>
          <w:tcPr/>
          <w:p>
            <w:pPr>
              <w:jc w:val="left"/>
            </w:pPr>
            <w:r>
              <w:t xml:space="preserve">Коэффициенты запаса, формальные методы учёта рисков, детерминированный подход к неопределённостям.</w:t>
            </w:r>
          </w:p>
        </w:tc>
        <w:tc>
          <w:tcPr/>
          <w:p>
            <w:pPr>
              <w:jc w:val="left"/>
            </w:pPr>
            <w:r>
              <w:t xml:space="preserve">Сценарное моделирование, управление неопределённостями через теории хаоса и фрактальную геометрию, прогнозирование культурных трансформаций.</w:t>
            </w:r>
          </w:p>
        </w:tc>
      </w:tr>
    </w:tbl>
    <w:p>
      <w:pPr>
        <w:pStyle w:val="BodyText"/>
      </w:pPr>
      <w:r>
        <w:t xml:space="preserve">Эволюция стадий проектирования в строительстве на протяжении российской истории носит циклический характер: ключевые инновации, внедряемые на каждом этапе — от антропометрических систем древнерусского зодчества до цифрового BIM-моделирования, — не столько вытесняют, сколько переосмысляют и интегрируют архетипические паттерны проектной деятельности. Установлено, что институционализация проектирования в имперский период и нормативная революция советской эпохи заложили основы для современной цифровой трансформации, а строительные материалы и методы передачи знаний выступают активными медиаторами социальных изменений, формируя не только архитектурный облик, но и культурный код эпохи.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ЛИТЕРАТУРА</w:t>
      </w:r>
    </w:p>
    <w:p>
      <w:pPr>
        <w:pStyle w:val="BodyText"/>
      </w:pPr>
      <w:r>
        <w:t xml:space="preserve">1. Раппопорт П.А. Древнерусская архитектура. — СПб.: Стройиздат, 1993. — 256 с.</w:t>
      </w:r>
    </w:p>
    <w:p>
      <w:pPr>
        <w:pStyle w:val="BodyText"/>
      </w:pPr>
      <w:r>
        <w:t xml:space="preserve">2. Воронин Н.Н. Зодчество Северо-Восточной Руси XII–XV веков. Т. 1. — М.: Изд-во АН СССР, 1961. — 583 с.</w:t>
      </w:r>
    </w:p>
    <w:p>
      <w:pPr>
        <w:pStyle w:val="BodyText"/>
      </w:pPr>
      <w:r>
        <w:t xml:space="preserve">3. Кириллов В.В. Архитектура как хронотоп: семиотика пространства в древнерусском зодчестве. — М.: Архитектура-С, 2007. — 312 с.</w:t>
      </w:r>
    </w:p>
    <w:p>
      <w:pPr>
        <w:pStyle w:val="BodyText"/>
      </w:pPr>
      <w:r>
        <w:t xml:space="preserve">4. Данилов И.Б. Институциональное оформление национально-государственного устройства Российской империи в XVIII – начале XX вв. // Вестник Российской правовой академии. 2025. № 1. С. 22–32.</w:t>
      </w:r>
    </w:p>
    <w:p>
      <w:pPr>
        <w:pStyle w:val="BodyText"/>
      </w:pPr>
      <w:r>
        <w:t xml:space="preserve">5. Устав строительный, измененный по продолжениям 1876 и 1879 г.г., с разъяснениями по решениям Уголовного кассационного департамента Правительствующего Сената и приложением циркуляров Министерства внутренних дел и позднейших узаконений. — Издание третье. — [С.-Петербург]: Типография придв. книгопр. К. К. Ретгера, 1881. — [2], 428, V с.;</w:t>
      </w:r>
    </w:p>
    <w:p>
      <w:pPr>
        <w:pStyle w:val="BodyText"/>
      </w:pPr>
      <w:r>
        <w:t xml:space="preserve">6. Лактаева М.А., Иванов В.Г. К истории государственного управления строительством в России// Государственная служба. 2017. №3 (107). URL: https://cyberleninka.ru/article/n/k-istorii-gosudarstvennogo-upravleniya-stroitelstvom-v-rossii (дата обращения: 13.05.2025).</w:t>
      </w:r>
    </w:p>
    <w:p>
      <w:pPr>
        <w:pStyle w:val="BodyText"/>
      </w:pPr>
      <w:r>
        <w:t xml:space="preserve">7. Меркулова, Н. В. Специфика русского градостроительства XVIII века на примере Санкт-Петербурга. Формирование культурного облика города / Н. В. Меркулова, В. Д. Максимов. — Текст : непосредственный // Юный ученый. — 2024. — № 4 (78). — С. 35-37. — URL: https://moluch.ru/young/archive/78/4271/ (дата обращения: 13.05.2025).</w:t>
      </w:r>
    </w:p>
    <w:p>
      <w:pPr>
        <w:pStyle w:val="BodyText"/>
      </w:pPr>
      <w:r>
        <w:t xml:space="preserve">8. Брезицкая Л. А. Институционализация гражданской государственной службы в России (первая половина XIX В. ) // Вестник ЮУрГУ. Серия: Право. 2006. №13 (68). URL: https://cyberleninka.ru/article/n/institutsionalizatsiya-grazhdanskoy-gosudarstvennoy-sluzhby-v-rossii-pervaya-polovina-xix-v (дата обращения: 13.05.2025).</w:t>
      </w:r>
    </w:p>
    <w:p>
      <w:pPr>
        <w:pStyle w:val="BodyText"/>
      </w:pPr>
      <w:r>
        <w:t xml:space="preserve">9. Хмельницкий Д.С. Архитектура сталинизма. — М.: Прогресс-Традиция, 2007. — 496 с.</w:t>
      </w:r>
    </w:p>
    <w:p>
      <w:pPr>
        <w:pStyle w:val="BodyText"/>
      </w:pPr>
      <w:r>
        <w:t xml:space="preserve">10. Постановление Правительства РФ №331 от 05.03.2021 «О внедрении технологий информационного моделирования» // Официальный интернет-портал правовой информации. 2021. URL: http://publication.pravo.gov.ru</w:t>
      </w:r>
    </w:p>
    <w:p>
      <w:pPr>
        <w:pStyle w:val="BodyText"/>
      </w:pPr>
      <w:r>
        <w:t xml:space="preserve">11. Строительное информационно-энергетическое моделирование: методы оценки энергоэффективности // Цифровая трансформация строительства. 2023. №4. С. 56–67.</w:t>
      </w:r>
    </w:p>
    <w:p>
      <w:pPr>
        <w:pStyle w:val="BodyText"/>
      </w:pPr>
      <w:r>
        <w:t xml:space="preserve">12. Отчёт о внедрении BIM-технологий в российских вузах. — М.: НИУ ВШЭ, 2024. — 112 с.</w:t>
      </w:r>
    </w:p>
    <w:p>
      <w:pPr>
        <w:pStyle w:val="BodyText"/>
      </w:pPr>
      <w:r>
        <w:t xml:space="preserve">13. Niccolucci, Franco &amp; Markhoff, Béatrice &amp; Theodoridou, Maria &amp; Felicetti, Achille &amp; Hermon, Sorin. (2023). The Heritage Digital Twin: a bicycle made for two. The integration of digital methodologies into cultural heritage research. 10.48550/arXiv.2302.07138.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Начальник отдела пожарного контроля ГБУ г. Москвы «ЦЭИИС» Д.В. Григорьев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http://ceiis.mos.ru/presscenter/nauchno-publitsisticheskie-stati/detail/13000236.html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ГБУ города Москвы «ЦЭИИС»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ceiis.mos.ru" TargetMode="External" /><Relationship Type="http://schemas.openxmlformats.org/officeDocument/2006/relationships/hyperlink" Id="rId36" Target="http://ceiis.mos.ru/presscenter/nauchno-publitsisticheskie-stati/detail/13000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ceiis.mos.ru" TargetMode="External" /><Relationship Type="http://schemas.openxmlformats.org/officeDocument/2006/relationships/hyperlink" Id="rId36" Target="http://ceiis.mos.ru/presscenter/nauchno-publitsisticheskie-stati/detail/13000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2025-07-25T15:51:01Z</dcterms:created>
  <dcterms:modified xsi:type="dcterms:W3CDTF">2025-07-25T15:51:01Z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