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jpg" ContentType="image/jpeg"/>
  <Override PartName="/word/media/rId30.jpg" ContentType="image/jpeg"/>
  <Override PartName="/word/media/rId39.png" ContentType="image/png"/>
  <Override PartName="/word/media/rId48.png" ContentType="image/png"/>
  <Override PartName="/word/media/rId51.png" ContentType="image/png"/>
  <Override PartName="/word/media/rId42.png" ContentType="image/png"/>
  <Override PartName="/word/media/rId27.jpg" ContentType="image/jpeg"/>
  <Override PartName="/word/media/rId21.jpg" ContentType="image/jpeg"/>
  <Override PartName="/word/media/rId45.png" ContentType="image/png"/>
  <Override PartName="/word/media/rId36.png" ContentType="image/pn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6" w:name="исследование-плотности-монтажной-пены"/>
    <w:p>
      <w:pPr>
        <w:pStyle w:val="Heading3"/>
      </w:pPr>
      <w:r>
        <w:t xml:space="preserve">Исследование плотности монтажной пены</w:t>
      </w:r>
    </w:p>
    <w:p>
      <w:pPr>
        <w:pStyle w:val="FirstParagraph"/>
      </w:pPr>
      <w:r>
        <w:t xml:space="preserve">31.10.2024</w:t>
      </w:r>
    </w:p>
    <w:p>
      <w:pPr>
        <w:pStyle w:val="BodyText"/>
      </w:pPr>
      <w:r>
        <w:t xml:space="preserve">Монтажная пена или пенополиуретановый герметик – это</w:t>
      </w:r>
      <w:r>
        <w:t xml:space="preserve"> </w:t>
      </w:r>
      <w:r>
        <w:rPr>
          <w:bCs/>
          <w:b/>
        </w:rPr>
        <w:t xml:space="preserve">смесь двух</w:t>
      </w:r>
      <w:r>
        <w:t xml:space="preserve"> </w:t>
      </w:r>
      <w:r>
        <w:t xml:space="preserve">химических</w:t>
      </w:r>
      <w:r>
        <w:t xml:space="preserve"> </w:t>
      </w:r>
      <w:r>
        <w:rPr>
          <w:bCs/>
          <w:b/>
        </w:rPr>
        <w:t xml:space="preserve">веществ</w:t>
      </w:r>
      <w:r>
        <w:t xml:space="preserve"> </w:t>
      </w:r>
      <w:r>
        <w:t xml:space="preserve">(полиола и изоцианата), которые получают из сырой нефти. В результате реакции этих компонентов между собой, образуется чистый пенополиуретан, который и является основой пены после завершения процесса кристаллизации. Для улучшения свойств материала, в состав часто добавляют различные катализаторы и усилители адгезии, огнеупорные добавки, противоморозные компоненты и газы-наполнители. Благодаря пористой структуре отвердевшего полиуретана, пена служит прекрасным изолятором. Ее можно наносить на самые разные по материалу поверхности – камень,</w:t>
      </w:r>
      <w:r>
        <w:t xml:space="preserve"> </w:t>
      </w:r>
      <w:hyperlink r:id="rId20">
        <w:r>
          <w:rPr>
            <w:rStyle w:val="Hyperlink"/>
          </w:rPr>
          <w:t xml:space="preserve">бетон</w:t>
        </w:r>
      </w:hyperlink>
      <w:r>
        <w:t xml:space="preserve">, железо, дерево, пластик.</w:t>
      </w:r>
    </w:p>
    <w:p>
      <w:pPr>
        <w:pStyle w:val="BodyText"/>
      </w:pPr>
      <w:r>
        <w:t xml:space="preserve">Монтажная пена замкнута в баллоне под высоким давлением. При открытии клапана газ вытесняет полимер из баллона и образует пузырьки, из-за которых полимер увеличивается в объеме. Это свойство монтажной пены позволяет заполнять собой щели и пустоты.</w:t>
      </w:r>
    </w:p>
    <w:p>
      <w:pPr>
        <w:pStyle w:val="BodyText"/>
      </w:pPr>
      <w:r>
        <w:t xml:space="preserve">Монтажная пена является универсальным средством для разных монтажных работ. Одним из наиболее важных показателей является плотность пены, которая влияет на качество монтажных швов и скорость монтажных работ.</w:t>
      </w:r>
    </w:p>
    <w:p>
      <w:pPr>
        <w:pStyle w:val="BodyText"/>
      </w:pPr>
      <w:r>
        <w:t xml:space="preserve">В 2021 году Федеральное агентство по техническому регулированию и метрологии выпустило ГОСТ 59599-2021 «Пена монтажная однокомпонентная полиуретановая в аэрозольной упаковке. Общие технические условия», где показатель плотности, определяется как кажущаяся плотность среднего слоя.</w:t>
      </w:r>
    </w:p>
    <w:p>
      <w:pPr>
        <w:pStyle w:val="BodyText"/>
      </w:pPr>
      <w:r>
        <w:drawing>
          <wp:inline>
            <wp:extent cx="3341716" cy="363266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ceiis.mos.ru/www/Образцы%20монтажной%20пены%20со%20строительных%20объектов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716" cy="36326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выполнения государственного задания специалисты учреждения ГБУ «ЦЭИИС» произвели отборы однокомпонентной монтажной пены в аэрозольной упаковке (в баллонах) со строительных объектов города Москвы с последующим проведением исследований в Испытательном лабораторном центре. За период с января по октябрь 2024 года были проведены сопоставительные испытания по определению кажущейся плотности среднего слоя по ГОСТ 59599-2021 и плотности по ГОСТ 17177-94. Были исследованы образцы девяти разных торговых марок полиуретановой монтажной пены (рис. 1).</w:t>
      </w:r>
    </w:p>
    <w:p>
      <w:pPr>
        <w:pStyle w:val="BodyText"/>
      </w:pPr>
      <w:r>
        <w:t xml:space="preserve">Для определения плотности подготовили пробы по ГОСТ 59599-2021, приложение А.3.3. Пену эвакуировали в форму (рис. 2), не допуская выхода за ее пределы более 10 мм, и выдерживали до окончания процесса полимеризации в нормальных условиях.</w:t>
      </w:r>
      <w:r>
        <w:br/>
      </w:r>
    </w:p>
    <w:p>
      <w:pPr>
        <w:pStyle w:val="BodyText"/>
      </w:pPr>
      <w:r>
        <w:drawing>
          <wp:inline>
            <wp:extent cx="3914775" cy="343852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ceiis.mos.ru/www/Форма%20из%20древесно-слоистой%20плиты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достижении полимеризации ножом вырезали из отвержденной пены, извлеченной из формы, образцы размером [(40 × 40 × 40) ± 2] мм таким образом, чтобы каждая грань образовывалась путем отрезания лишней пены, причем толщина излишков пены должна быть не менее 5 мм со стороны каждой грани образца. Количество образцов должно быть не менее трех (рис. 3).</w:t>
      </w:r>
      <w:r>
        <w:br/>
      </w:r>
    </w:p>
    <w:p>
      <w:pPr>
        <w:pStyle w:val="BodyText"/>
      </w:pPr>
      <w:r>
        <w:drawing>
          <wp:inline>
            <wp:extent cx="2074025" cy="110559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ceiis.mos.ru/www/Образцы%20для%20испытания%20по%20ГОСТ%2059599-2021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025" cy="11055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Провели кондиционирование полученных образцов при нормальных условиях в течение 24 ч, после чего начали испытание. Высушили до постоянной массы, затем взвесили с погрешностью не более 0,5 % (рис. 4).</w:t>
      </w:r>
      <w:r>
        <w:br/>
      </w:r>
    </w:p>
    <w:p>
      <w:pPr>
        <w:pStyle w:val="BodyText"/>
      </w:pPr>
      <w:r>
        <w:drawing>
          <wp:inline>
            <wp:extent cx="2128058" cy="223196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ceiis.mos.ru/www/Взвешивание%20образца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058" cy="22319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Измерили размеры образца (длину, ширину, толщину) и вычислили его объем. Плотность в килограммах на кубический метр вычисляли по формуле:</w:t>
      </w:r>
    </w:p>
    <w:p>
      <w:pPr>
        <w:pStyle w:val="BodyText"/>
      </w:pPr>
      <w:r>
        <w:drawing>
          <wp:inline>
            <wp:extent cx="3667125" cy="100965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ceiis.mos.ru/www/Без%20имени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46375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ceiis.mos.ru/www/Таблица%2031.10.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46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результатам испытания все образцы</w:t>
      </w:r>
      <w:r>
        <w:t xml:space="preserve"> </w:t>
      </w:r>
      <w:r>
        <w:rPr>
          <w:bCs/>
          <w:b/>
        </w:rPr>
        <w:t xml:space="preserve">удовлетворяют</w:t>
      </w:r>
      <w:r>
        <w:t xml:space="preserve"> </w:t>
      </w:r>
      <w:r>
        <w:t xml:space="preserve">требованиям ГОСТ 59599-2021, таблица 3 – для монтажной пены типа В кажущаяся плотность среднего слоя составляет</w:t>
      </w:r>
      <w:r>
        <w:t xml:space="preserve"> </w:t>
      </w:r>
      <w:r>
        <w:rPr>
          <w:bCs/>
          <w:b/>
        </w:rPr>
        <w:t xml:space="preserve">не менее 12 кг/м</w:t>
      </w:r>
      <w:r>
        <w:rPr>
          <w:vertAlign w:val="superscript"/>
          <w:bCs/>
          <w:b/>
        </w:rPr>
        <w:t xml:space="preserve">3</w:t>
      </w:r>
      <w:r>
        <w:t xml:space="preserve"> </w:t>
      </w:r>
      <w:r>
        <w:t xml:space="preserve">(рис. 5).</w:t>
      </w:r>
      <w:r>
        <w:br/>
      </w:r>
    </w:p>
    <w:p>
      <w:pPr>
        <w:pStyle w:val="BodyText"/>
      </w:pPr>
      <w:r>
        <w:drawing>
          <wp:inline>
            <wp:extent cx="5334000" cy="1850571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ceiis.mos.ru/www/График31.10.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505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 определили плотность по ГОСТ 17177-94, п. 7.2, на образцах, полученных из тех же проб. Изготовили образцы размерами [(50 х 50 х 50) ±1] мм (рис.6).</w:t>
      </w:r>
      <w:r>
        <w:br/>
      </w:r>
    </w:p>
    <w:p>
      <w:pPr>
        <w:pStyle w:val="BodyText"/>
      </w:pPr>
      <w:r>
        <w:drawing>
          <wp:inline>
            <wp:extent cx="3013224" cy="2638872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ceiis.mos.ru/www/Образец%20по%20ГОСТ%2017177-9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224" cy="26388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испытаний изготовили не менее трех образцов, которые взвесили с погрешностью не более 0,5%.</w:t>
      </w:r>
    </w:p>
    <w:p>
      <w:pPr>
        <w:pStyle w:val="BodyText"/>
      </w:pPr>
      <w:r>
        <w:t xml:space="preserve">Результаты испытания занесли в таблицу 2.</w:t>
      </w:r>
    </w:p>
    <w:p>
      <w:pPr>
        <w:pStyle w:val="BodyText"/>
      </w:pPr>
      <w:r>
        <w:drawing>
          <wp:inline>
            <wp:extent cx="5334000" cy="3058159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/mnt/u01/sites/ceiis.mos.ru/www/Таблица%2002.11.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581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144846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/mnt/u01/sites/ceiis.mos.ru/www/Диаграмма%20плотности%20исследуемых%20образцов%20по%20ГОСТ%2017177-94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448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результатам исследования плотности по ГОСТ 17177-94, один из девяти образцов не удовлетворяет (без учета округления до целого числа) требованию ГОСТ 30971-2012, таблица А.2 –</w:t>
      </w:r>
      <w:r>
        <w:t xml:space="preserve"> </w:t>
      </w:r>
      <w:r>
        <w:rPr>
          <w:bCs/>
          <w:b/>
        </w:rPr>
        <w:t xml:space="preserve">не менее 20 кг/м</w:t>
      </w:r>
      <w:r>
        <w:rPr>
          <w:vertAlign w:val="superscript"/>
          <w:bCs/>
          <w:b/>
        </w:rPr>
        <w:t xml:space="preserve">3</w:t>
      </w:r>
      <w:r>
        <w:t xml:space="preserve">.</w:t>
      </w:r>
    </w:p>
    <w:p>
      <w:pPr>
        <w:pStyle w:val="BodyText"/>
      </w:pPr>
      <w:r>
        <w:t xml:space="preserve">Для наглядности результаты сопоставительных испытаний представлены на комбинированной диаграмме (рис.8).</w:t>
      </w:r>
    </w:p>
    <w:p>
      <w:pPr>
        <w:pStyle w:val="BodyText"/>
      </w:pPr>
      <w:r>
        <w:drawing>
          <wp:inline>
            <wp:extent cx="5334000" cy="2238096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/mnt/u01/sites/ceiis.mos.ru/www/Диаграмма%20показателей%20плотности%20по%20ГОСТ%2017177-94%20и%20кажущейся%20плотности%20среднего%20слоя%20по%20ГОСТ%2059599-2021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38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Выводы</w:t>
      </w:r>
    </w:p>
    <w:p>
      <w:pPr>
        <w:pStyle w:val="BodyText"/>
      </w:pPr>
      <w:r>
        <w:t xml:space="preserve">1. Согласно результатам сопоставительных испытаний, показатели плотности по ГОСТ 17177-94 и кажущейся плотности среднего слоя по ГОСТ 59599-2021 в целом соответствуют требованиям нормативной документации.</w:t>
      </w:r>
    </w:p>
    <w:p>
      <w:pPr>
        <w:pStyle w:val="BodyText"/>
      </w:pPr>
      <w:r>
        <w:t xml:space="preserve">2. Установлено, что кажущаяся плотность среднего слоя по ГОСТ 59599-2021 меньше плотности по ГОСТ 17177-94, и разница для представленных образцов колеблется в диапазоне от 2 % до 37 %.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ГОСТ 17177-94 «Материалы и изделия строительные теплоизоляционные. Методы испытаний»,</w:t>
      </w:r>
    </w:p>
    <w:p>
      <w:pPr>
        <w:pStyle w:val="BodyText"/>
      </w:pPr>
      <w:r>
        <w:t xml:space="preserve">2. ГОСТ 59599-2021 «Пена монтажная однокомпонентная полиуретановая в аэрозольной упаковке. Общие технические условия»,</w:t>
      </w:r>
    </w:p>
    <w:p>
      <w:pPr>
        <w:pStyle w:val="BodyText"/>
      </w:pPr>
      <w:r>
        <w:t xml:space="preserve">3. ГОСТ 30971-2012 «Швы монтажные узлов примыкания оконных блоков к стеновым проемам. Общие технические условия».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подготовили:</w:t>
      </w:r>
    </w:p>
    <w:p>
      <w:pPr>
        <w:pStyle w:val="BodyText"/>
      </w:pPr>
      <w:r>
        <w:rPr>
          <w:iCs/>
          <w:i/>
        </w:rPr>
        <w:t xml:space="preserve">Ведущий инженер Лаборатории испытаний строительных</w:t>
      </w:r>
    </w:p>
    <w:p>
      <w:pPr>
        <w:pStyle w:val="BodyText"/>
      </w:pPr>
      <w:r>
        <w:rPr>
          <w:iCs/>
          <w:i/>
        </w:rPr>
        <w:t xml:space="preserve">материалов и конструкций ГБУ "ЦЭИИС"  Лузина А.Ю.,</w:t>
      </w:r>
    </w:p>
    <w:p>
      <w:pPr>
        <w:pStyle w:val="BodyText"/>
      </w:pPr>
      <w:r>
        <w:rPr>
          <w:iCs/>
          <w:i/>
        </w:rPr>
        <w:t xml:space="preserve">Инженер Лаборатории испытаний строительных</w:t>
      </w:r>
    </w:p>
    <w:p>
      <w:pPr>
        <w:pStyle w:val="BodyText"/>
      </w:pPr>
      <w:r>
        <w:rPr>
          <w:iCs/>
          <w:i/>
        </w:rPr>
        <w:t xml:space="preserve">материалов и конструкций  ГБУ !ЦЭИИС" Кабанов Д.С.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4">
        <w:r>
          <w:rPr>
            <w:rStyle w:val="Hyperlink"/>
          </w:rPr>
          <w:t xml:space="preserve">http://ceiis.mos.ru/presscenter/nauchno-publitsisticheskie-stati/detail/12638548.html</w:t>
        </w:r>
      </w:hyperlink>
    </w:p>
    <w:p>
      <w:pPr>
        <w:pStyle w:val="BodyText"/>
      </w:pPr>
      <w:hyperlink r:id="rId55">
        <w:r>
          <w:rPr>
            <w:rStyle w:val="Hyperlink"/>
          </w:rPr>
          <w:t xml:space="preserve">ГБУ города Москвы «ЦЭИИС»</w:t>
        </w:r>
      </w:hyperlink>
    </w:p>
    <w:bookmarkEnd w:id="5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3" Target="media/rId33.jpg" /><Relationship Type="http://schemas.openxmlformats.org/officeDocument/2006/relationships/image" Id="rId30" Target="media/rId30.jpg" /><Relationship Type="http://schemas.openxmlformats.org/officeDocument/2006/relationships/image" Id="rId39" Target="media/rId39.png" /><Relationship Type="http://schemas.openxmlformats.org/officeDocument/2006/relationships/image" Id="rId48" Target="media/rId48.png" /><Relationship Type="http://schemas.openxmlformats.org/officeDocument/2006/relationships/image" Id="rId51" Target="media/rId51.png" /><Relationship Type="http://schemas.openxmlformats.org/officeDocument/2006/relationships/image" Id="rId42" Target="media/rId42.pn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image" Id="rId45" Target="media/rId45.png" /><Relationship Type="http://schemas.openxmlformats.org/officeDocument/2006/relationships/image" Id="rId36" Target="media/rId36.png" /><Relationship Type="http://schemas.openxmlformats.org/officeDocument/2006/relationships/image" Id="rId24" Target="media/rId24.jpg" /><Relationship Type="http://schemas.openxmlformats.org/officeDocument/2006/relationships/hyperlink" Id="rId55" Target="http://ceiis.mos.ru" TargetMode="External" /><Relationship Type="http://schemas.openxmlformats.org/officeDocument/2006/relationships/hyperlink" Id="rId54" Target="http://ceiis.mos.ru/presscenter/nauchno-publitsisticheskie-stati/detail/12638548.html" TargetMode="External" /><Relationship Type="http://schemas.openxmlformats.org/officeDocument/2006/relationships/hyperlink" Id="rId20" Target="https://remstroiblog.ru/natalia/2017/01/26/kakoy-beton-vyibrat-marka-i-klass-beton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5" Target="http://ceiis.mos.ru" TargetMode="External" /><Relationship Type="http://schemas.openxmlformats.org/officeDocument/2006/relationships/hyperlink" Id="rId54" Target="http://ceiis.mos.ru/presscenter/nauchno-publitsisticheskie-stati/detail/12638548.html" TargetMode="External" /><Relationship Type="http://schemas.openxmlformats.org/officeDocument/2006/relationships/hyperlink" Id="rId20" Target="https://remstroiblog.ru/natalia/2017/01/26/kakoy-beton-vyibrat-marka-i-klass-beton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2025-04-10T00:08:44Z</dcterms:created>
  <dcterms:modified xsi:type="dcterms:W3CDTF">2025-04-10T00:08:44Z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