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ca2da6088fa3c4044d16c80cf4108b81175e52"/>
    <w:p>
      <w:pPr>
        <w:pStyle w:val="Heading3"/>
      </w:pPr>
      <w:r>
        <w:t xml:space="preserve">Межлабораторные сличительные испытания, как внешний контроль за работой лаборатории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rPr>
          <w:iCs/>
          <w:i/>
        </w:rPr>
        <w:t xml:space="preserve">В настоящей статье применены следующие термины и определения:</w:t>
      </w:r>
    </w:p>
    <w:p>
      <w:pPr>
        <w:pStyle w:val="BodyText"/>
      </w:pPr>
      <w:r>
        <w:t xml:space="preserve">• Межлабораторные сличительные испытания (МСИ) – организация, выполнение и оценивание измерений или испытаний одного и того же или нескольких подобных образцов двумя или более лабораториями в соответствии с заранее установленными условиями.</w:t>
      </w:r>
    </w:p>
    <w:p>
      <w:pPr>
        <w:pStyle w:val="BodyText"/>
      </w:pPr>
      <w:r>
        <w:t xml:space="preserve">• Провайдер проверки квалификации (Провайдер ПК) – организация, которая несет ответственность за все задачи по разработке и выполнению программы проверки квалификации (в целях настоящего документа под провайдером проверки квалификации подразумеваются провайдер, провайдер программ проверки квалификации, провайдер МСИ, лицо, выступающее в качестве провайдера).</w:t>
      </w:r>
    </w:p>
    <w:p>
      <w:pPr>
        <w:pStyle w:val="BodyText"/>
      </w:pPr>
      <w:r>
        <w:t xml:space="preserve">• Проверка квалификации (ПК) – оценивание характеристики функционирования участника по заранее установленным критериям посредством межлабораторных сличительных испытаний.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Важность и значимость участия лаборатории в ПК и/или МСИ</w:t>
      </w:r>
    </w:p>
    <w:p>
      <w:pPr>
        <w:pStyle w:val="BodyText"/>
      </w:pPr>
      <w:r>
        <w:t xml:space="preserve">Межлабораторные сличительные испытания являются наиболее объективным способом оценки технической компетентности лаборатории в выполнении испытаний (исследований) и измерений.</w:t>
      </w:r>
    </w:p>
    <w:p>
      <w:pPr>
        <w:pStyle w:val="BodyText"/>
      </w:pPr>
      <w:r>
        <w:t xml:space="preserve">Участие лаборатории в программах ПК и/или МСИ, организованных провайдерами ПК является одним из важнейших инструментов для демонстрации компетентности и обеспечения качества выдаваемых результатов, а также повышения доверия к деятельности лаборатории со стороны заказчика и национального органа по аккредитации.</w:t>
      </w:r>
    </w:p>
    <w:p>
      <w:pPr>
        <w:pStyle w:val="BodyText"/>
      </w:pPr>
      <w:r>
        <w:t xml:space="preserve">Представление лабораторией, удовлетворительных результатов участия в программах ПК, организованных провайдерами ПК, и (или) МСИ рассматривается Росаккредитацией как доказательство компетентности при принятии Росаккредитацией решения по результатам проведения процедуры подтверждения компетентности и расширения области аккредитации.</w:t>
      </w:r>
    </w:p>
    <w:p>
      <w:pPr>
        <w:pStyle w:val="BodyText"/>
      </w:pPr>
      <w:r>
        <w:t xml:space="preserve">Участие лаборатории в программах ПК и/или МСИ является неотъемлемой частью мониторинга достоверности результатов испытаний, предусмотренным пунктом 7.7 ГОСТ ISO/IEC 17025-2019. Данные, полученные с помощью такого мониторинга, анализируются и используются для управления лабораторной деятельностью, а также по возможности для внесения улучшений в ее работу.</w:t>
      </w:r>
    </w:p>
    <w:p>
      <w:pPr>
        <w:pStyle w:val="BodyText"/>
      </w:pPr>
      <w:r>
        <w:t xml:space="preserve">Сложно переоценить значимость и важность участия лаборатории в ПК и/или МСИ, потому как это позволяет ей:</w:t>
      </w:r>
    </w:p>
    <w:p>
      <w:pPr>
        <w:pStyle w:val="BodyText"/>
      </w:pPr>
      <w:r>
        <w:t xml:space="preserve">ü обеспечить соблюдение законодательных требований Критериев аккредитации и ГОСТ ISO/IEC 17025-2019;</w:t>
      </w:r>
    </w:p>
    <w:p>
      <w:pPr>
        <w:pStyle w:val="BodyText"/>
      </w:pPr>
      <w:r>
        <w:t xml:space="preserve">ü получить независимую оценку технической компетентности своей деятельности;</w:t>
      </w:r>
    </w:p>
    <w:p>
      <w:pPr>
        <w:pStyle w:val="BodyText"/>
      </w:pPr>
      <w:r>
        <w:t xml:space="preserve">ü сравнить уровень своих измерительных возможностей с другими лабораториями;</w:t>
      </w:r>
    </w:p>
    <w:p>
      <w:pPr>
        <w:pStyle w:val="BodyText"/>
      </w:pPr>
      <w:r>
        <w:t xml:space="preserve">ü выявить проблемные места в лаборатории;</w:t>
      </w:r>
    </w:p>
    <w:p>
      <w:pPr>
        <w:pStyle w:val="BodyText"/>
      </w:pPr>
      <w:r>
        <w:t xml:space="preserve">ü оценить технический уровень сотрудников;</w:t>
      </w:r>
    </w:p>
    <w:p>
      <w:pPr>
        <w:pStyle w:val="BodyText"/>
      </w:pPr>
      <w:r>
        <w:t xml:space="preserve">ü обеспечить значимые преимущества и облегчить процедуру подтверждения компетентности.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Обзор актуальных изменений подхода Росаккредитации в отношении ПК и(или) МСИ</w:t>
      </w:r>
    </w:p>
    <w:p>
      <w:pPr>
        <w:pStyle w:val="BodyText"/>
      </w:pPr>
      <w:r>
        <w:t xml:space="preserve">В августе 2024 г. на сайте ФСА была опубликована новая Политика Росаккредитации в отношении участия лабораторий и органов инспекции в проверках квалификации и в межлабораторных сличительных (сравнительных) испытаниях, отличных от проверок квалификации (СМ № 03.1−1.0008 Версия 03.1 Август 2024 г.).</w:t>
      </w:r>
    </w:p>
    <w:p>
      <w:pPr>
        <w:pStyle w:val="BodyText"/>
      </w:pPr>
      <w:r>
        <w:t xml:space="preserve">18 сентября была опубликована новая версия Политики — СМ № 03.1−1.0008 Версия 03.2 Сентябрь 2024 г. Политика (версия 03.2) вводится с 1 января 2025 года с правом досрочного применения. Документ заменил версию от 2021 года.</w:t>
      </w:r>
    </w:p>
    <w:p>
      <w:pPr>
        <w:pStyle w:val="BodyText"/>
      </w:pPr>
      <w:r>
        <w:t xml:space="preserve">Согласно положениям новой версии Политики Участие лабораторий, аккредитованных в НСА, в программах ПК является обязательным, где такая деятельность доступна и применима.</w:t>
      </w:r>
    </w:p>
    <w:p>
      <w:pPr>
        <w:pStyle w:val="BodyText"/>
      </w:pPr>
      <w:r>
        <w:t xml:space="preserve">Лаборатория самостоятельно ищет подходящего провайдера ПК, аккредитованного в НСА в соответствии с ГОСТ ISO/IEC 17043-2013. При отсутствии такого провайдера можно использовать поиск посредством EPTIS и (или) APAC. Также могут быть рассмотрены провайдеры ПК, аккредитованные иными подписантами ILAC MRA</w:t>
      </w:r>
    </w:p>
    <w:p>
      <w:pPr>
        <w:pStyle w:val="BodyText"/>
      </w:pPr>
      <w:r>
        <w:t xml:space="preserve">При этом:</w:t>
      </w:r>
    </w:p>
    <w:p>
      <w:pPr>
        <w:pStyle w:val="BodyText"/>
      </w:pPr>
      <w:r>
        <w:t xml:space="preserve">ü уровень и периодичность участия в ПК или МСИ определяют с учетом идентифицированных групп областей технической компетентности, а также рисков и возможностей, связанных с лабораторной деятельностью;</w:t>
      </w:r>
    </w:p>
    <w:p>
      <w:pPr>
        <w:pStyle w:val="BodyText"/>
      </w:pPr>
      <w:r>
        <w:t xml:space="preserve">ü критерии доступности и уместности ПК лаборатория устанавливает сама, принимая во внимание наличие предложений схем ПК от компетентного провайдера ПК, доступности документации для понимания сотрудниками лаборатории, собственного планирования лаборатории участия в ПК, соответствия схемы ПК области аккредитации лаборатории в части методик, объектов, определяемых показателей и диапазонов определения;</w:t>
      </w:r>
    </w:p>
    <w:p>
      <w:pPr>
        <w:pStyle w:val="BodyText"/>
      </w:pPr>
      <w:r>
        <w:t xml:space="preserve">ü в план участия в ПК или МСИ рекомендуется не включать методики исследований, измерений, которые использовали в ПК или МСИ в течение цикла аккредитации (если это уместно и применимо).</w:t>
      </w:r>
    </w:p>
    <w:p>
      <w:pPr>
        <w:pStyle w:val="BodyText"/>
      </w:pPr>
      <w:r>
        <w:t xml:space="preserve">Политика говорит о том, что в наиболее перспективном сценарии, аккредитованной лаборатории следует участвовать в отдельных ПК и (или) МСИ для каждого используемого метода испытаний (исследований) или измерений и для каждой характеристики (компонента, параметра), измеряемой в каждом объекте. При этом, Росаккредитация признает, что это не всегда осуществимо.</w:t>
      </w:r>
    </w:p>
    <w:p>
      <w:pPr>
        <w:pStyle w:val="BodyText"/>
      </w:pPr>
      <w:r>
        <w:t xml:space="preserve">Политика закрепляет ПК как наиболее предпочтительный и надежный вариант мониторинга. При этом Росаккредитация признает, что есть сектора, где ПК полезна лишь для части испытаний или затруднительна в целом. О таких ситуациях нужно уведомить Росаккредитацию, чтобы согласовать иную форму мониторинга. Ее можно использовать, если есть подходящие условия и обстоятельства.</w:t>
      </w:r>
    </w:p>
    <w:p>
      <w:pPr>
        <w:pStyle w:val="BodyText"/>
      </w:pPr>
      <w:r>
        <w:t xml:space="preserve">Различные виды МСИ, которые могут применяться аккредитованными лабораториями и которые Росаккредитация принимает в качестве альтернативы ПК, включают:</w:t>
      </w:r>
    </w:p>
    <w:p>
      <w:pPr>
        <w:pStyle w:val="BodyText"/>
      </w:pPr>
      <w:r>
        <w:t xml:space="preserve">- МСИ, организованные существенным количеством лабораторий на разовой или постоянной основе;</w:t>
      </w:r>
    </w:p>
    <w:p>
      <w:pPr>
        <w:pStyle w:val="BodyText"/>
      </w:pPr>
      <w:r>
        <w:t xml:space="preserve">- организация МСИ с небольшим количеством участников.</w:t>
      </w:r>
    </w:p>
    <w:p>
      <w:pPr>
        <w:pStyle w:val="BodyText"/>
      </w:pPr>
      <w:r>
        <w:t xml:space="preserve">В связи с вышеуказанными изменениями и в целях выполнения требований политики Росаккредитации по участию аккредитованных (претендующих на это) лабораторий и органов инспекции в проверках квалификации и межлабораторных сличительных испытаниях, отличных от ПК (СМ № 03.1-1.0008 (вер.03.1) была разработана Документированная процедура «Внешний мониторинг достоверности результатов», которая действует в ИЛЦ с 21.10.2024. Процедура устанавливает правила планирования и мониторинга участия ИЛЦ в ПК и в МСИ, отличных от ПК.</w:t>
      </w:r>
    </w:p>
    <w:p>
      <w:pPr>
        <w:pStyle w:val="BodyText"/>
      </w:pPr>
      <w:r>
        <w:t xml:space="preserve">Процесс участия лабораторий ИЛЦ в ПК и(или) МСИ включает в себя:</w:t>
      </w:r>
    </w:p>
    <w:p>
      <w:pPr>
        <w:pStyle w:val="BodyText"/>
      </w:pPr>
      <w:r>
        <w:t xml:space="preserve">• определение уровня и периодичности участия в ПК и (или) МСИ;</w:t>
      </w:r>
    </w:p>
    <w:p>
      <w:pPr>
        <w:pStyle w:val="BodyText"/>
      </w:pPr>
      <w:r>
        <w:t xml:space="preserve">• поиск, оценку и выбор провайдера ПК;</w:t>
      </w:r>
    </w:p>
    <w:p>
      <w:pPr>
        <w:pStyle w:val="BodyText"/>
      </w:pPr>
      <w:r>
        <w:t xml:space="preserve">• планирование участия в ПК и (или) МСИ;</w:t>
      </w:r>
    </w:p>
    <w:p>
      <w:pPr>
        <w:pStyle w:val="BodyText"/>
      </w:pPr>
      <w:r>
        <w:t xml:space="preserve">• участие в программах ПК и (или) МСИ;</w:t>
      </w:r>
    </w:p>
    <w:p>
      <w:pPr>
        <w:pStyle w:val="BodyText"/>
      </w:pPr>
      <w:r>
        <w:t xml:space="preserve">• участие в МСИ, отличных от проверок ПК;</w:t>
      </w:r>
    </w:p>
    <w:p>
      <w:pPr>
        <w:pStyle w:val="BodyText"/>
      </w:pPr>
      <w:r>
        <w:t xml:space="preserve">• анализ результатов участия в программах ПК и/или МСИ;</w:t>
      </w:r>
    </w:p>
    <w:p>
      <w:pPr>
        <w:pStyle w:val="BodyText"/>
      </w:pPr>
      <w:r>
        <w:t xml:space="preserve">• принятие мер по итогам участия в программах ПК и/или МСИ.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участии лаборатории санитарно-эпидемиологического и радиационного контроля в ПК и(или) МСИ</w:t>
      </w:r>
    </w:p>
    <w:p>
      <w:pPr>
        <w:pStyle w:val="BodyText"/>
      </w:pPr>
      <w:r>
        <w:t xml:space="preserve">В 2024 г. Лаборатория санитарно-эпидемиологического и радиационного контроля приняла участие в ПК посредством МСИ с компетентными провайдерами ПК, аккредитованным в Национальной системе аккредитации, ЗАО «РОСА» и ООО "НТЦ "ЭколоджиксЛаб" по семи методам и девяти показателям (см. Таблицу 1). Результаты участия лаборатории в ПК признаны удовлетворительными (см. Рисунок 1).</w:t>
      </w:r>
    </w:p>
    <w:p>
      <w:pPr>
        <w:pStyle w:val="BodyText"/>
      </w:pPr>
      <w:r>
        <w:t xml:space="preserve">Сотрудниками лаборатории были подтверждены результаты по следующим методам испытаний:</w:t>
      </w:r>
    </w:p>
    <w:p>
      <w:pPr>
        <w:pStyle w:val="BodyText"/>
      </w:pPr>
      <w:r>
        <w:t xml:space="preserve">ü флуориметрия;</w:t>
      </w:r>
    </w:p>
    <w:p>
      <w:pPr>
        <w:pStyle w:val="BodyText"/>
      </w:pPr>
      <w:r>
        <w:t xml:space="preserve">ü атомно-абсорбционная спектрометрия с электротермической атомизацией;</w:t>
      </w:r>
    </w:p>
    <w:p>
      <w:pPr>
        <w:pStyle w:val="BodyText"/>
      </w:pPr>
      <w:r>
        <w:t xml:space="preserve">ü фотометрия;</w:t>
      </w:r>
    </w:p>
    <w:p>
      <w:pPr>
        <w:pStyle w:val="BodyText"/>
      </w:pPr>
      <w:r>
        <w:t xml:space="preserve">ü высокоэффективная жидкостная хроматография (ВЭЖХ);</w:t>
      </w:r>
    </w:p>
    <w:p>
      <w:pPr>
        <w:pStyle w:val="BodyText"/>
      </w:pPr>
      <w:r>
        <w:t xml:space="preserve">ü титриметрия;</w:t>
      </w:r>
    </w:p>
    <w:p>
      <w:pPr>
        <w:pStyle w:val="BodyText"/>
      </w:pPr>
      <w:r>
        <w:t xml:space="preserve">ü потенциометрия;</w:t>
      </w:r>
    </w:p>
    <w:p>
      <w:pPr>
        <w:pStyle w:val="BodyText"/>
      </w:pPr>
      <w:r>
        <w:t xml:space="preserve">ü радиационный контроль.</w:t>
      </w:r>
    </w:p>
    <w:p>
      <w:pPr>
        <w:pStyle w:val="BodyText"/>
      </w:pPr>
      <w:r>
        <w:t xml:space="preserve">Таблица 1 - Результаты МСИ ЛСЭРК ГБУ ЦЭИИС в 2024 г.</w:t>
      </w:r>
    </w:p>
    <w:p>
      <w:pPr>
        <w:pStyle w:val="BodyText"/>
      </w:pPr>
      <w:r>
        <w:drawing>
          <wp:inline>
            <wp:extent cx="5334000" cy="37812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табюлица%2029.10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Рисунок 1 – Свидетельства участников программы ПК</w:t>
      </w:r>
    </w:p>
    <w:p>
      <w:pPr>
        <w:pStyle w:val="BodyText"/>
      </w:pPr>
      <w:r>
        <w:drawing>
          <wp:inline>
            <wp:extent cx="5334000" cy="393712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29.10.2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71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9728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29.10.2024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72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2025 г. Лаборатория санитарно-эпидемиологического и радиационного контроля планирует принять участие в ПК посредством МСИ с несколькими провайдерами ПК, аккредитованными в Национальной системе аккредитации, по следующим методам испытаний:</w:t>
      </w:r>
    </w:p>
    <w:p>
      <w:pPr>
        <w:pStyle w:val="BodyText"/>
      </w:pPr>
      <w:r>
        <w:t xml:space="preserve">ü радиометрический (удельная активность ЕРН (K-40, Ra-226, Th-232) в почве;</w:t>
      </w:r>
    </w:p>
    <w:p>
      <w:pPr>
        <w:pStyle w:val="BodyText"/>
      </w:pPr>
      <w:r>
        <w:t xml:space="preserve">ü фотометрический (массовая концентрация формальдегида (формальдегид) в воздухе);</w:t>
      </w:r>
    </w:p>
    <w:p>
      <w:pPr>
        <w:pStyle w:val="BodyText"/>
      </w:pPr>
      <w:r>
        <w:t xml:space="preserve">ü газовая хроматография (массовая концентрация оксида углерода (CO) в воздухе)</w:t>
      </w:r>
    </w:p>
    <w:p>
      <w:pPr>
        <w:pStyle w:val="BodyText"/>
      </w:pPr>
      <w:r>
        <w:t xml:space="preserve">ü гравиметрический (весовой) (массовая концентрация взвешенных веществ в воздухе);</w:t>
      </w:r>
    </w:p>
    <w:p>
      <w:pPr>
        <w:pStyle w:val="BodyText"/>
      </w:pPr>
      <w:r>
        <w:t xml:space="preserve">ü атомно-абсорбционный спектрометрический (массовая концентрация марганца (Mn) в воздухе);</w:t>
      </w:r>
    </w:p>
    <w:p>
      <w:pPr>
        <w:pStyle w:val="BodyText"/>
      </w:pPr>
      <w:r>
        <w:t xml:space="preserve">ü электрохимический (массовая концентрация фторидов (фторид-ионов) в воде);</w:t>
      </w:r>
    </w:p>
    <w:p>
      <w:pPr>
        <w:pStyle w:val="BodyText"/>
      </w:pPr>
      <w:r>
        <w:t xml:space="preserve">ü титриметрический (объемный) (окисляемость перманганатная в воде);</w:t>
      </w:r>
    </w:p>
    <w:p>
      <w:pPr>
        <w:pStyle w:val="BodyText"/>
      </w:pPr>
      <w:r>
        <w:t xml:space="preserve">ü турбидиметрический (массовая концентрация сульфатов (сульфат-ионов) в воде).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Документ СМ № 03.1-1.0008 «Политика Росаккредитации в отношении участия лабораторий и органов инспекции в проверках квалификации и в межлабораторных сличительных (сравнительных) испытаниях, отличных от проверок квалификации»,</w:t>
      </w:r>
    </w:p>
    <w:p>
      <w:pPr>
        <w:pStyle w:val="BodyText"/>
      </w:pPr>
      <w:r>
        <w:t xml:space="preserve">2. Общие требования к компетентности испытательных и калибровочных лабораторий ГОСТ ISO/IEC 17025-2019.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Ведущий инженер лаборатории санитарно-эпидемиологического и радиационного контроля ГБУ "ЦЭИИС" М.М. Вахрина,</w:t>
      </w:r>
    </w:p>
    <w:p>
      <w:pPr>
        <w:pStyle w:val="BodyText"/>
      </w:pPr>
      <w:r>
        <w:rPr>
          <w:iCs/>
          <w:i/>
        </w:rPr>
        <w:t xml:space="preserve">Инженер отдела управления системой качества и охраны труда ГБУ "ЦЭИИС" Н.С. Малахова.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http://ceiis.mos.ru/presscenter/nauchno-publitsisticheskie-stati/detail/12634167.html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«ЦЭИИС»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2634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2634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2025-07-29T07:35:42Z</dcterms:created>
  <dcterms:modified xsi:type="dcterms:W3CDTF">2025-07-29T07:35:42Z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