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35.png" ContentType="image/png"/>
  <Override PartName="/word/media/rId26.jpg" ContentType="image/jpeg"/>
  <Override PartName="/word/media/rId50.png" ContentType="image/png"/>
  <Override PartName="/word/media/rId29.png" ContentType="image/png"/>
  <Override PartName="/word/media/rId59.png" ContentType="image/png"/>
  <Override PartName="/word/media/rId44.png" ContentType="image/png"/>
  <Override PartName="/word/media/rId32.png" ContentType="image/png"/>
  <Override PartName="/word/media/rId23.jpg" ContentType="image/jpeg"/>
  <Override PartName="/word/media/rId53.png" ContentType="image/png"/>
  <Override PartName="/word/media/rId20.png" ContentType="image/png"/>
  <Override PartName="/word/media/rId56.png" ContentType="image/pn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X3c30ecc052c9448eb6426597a3bcdd1f1e5059a"/>
    <w:p>
      <w:pPr>
        <w:pStyle w:val="Heading3"/>
      </w:pPr>
      <w:r>
        <w:t xml:space="preserve">Сопоставительные испытания по определению истираемости линолеума с использованием разного оборудования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Сегодня линолеум является одним из самых популярных напольных покрытий на рынке отделочных материалов. Это по-настоящему практичный и надежный материал для отделки жилых и коммерческих помещений.</w:t>
      </w:r>
    </w:p>
    <w:p>
      <w:pPr>
        <w:pStyle w:val="BodyText"/>
      </w:pPr>
      <w:r>
        <w:t xml:space="preserve">В наше время технология производства линолеума шагнула далеко вперед. Тем не менее, чтобы найти действительно качественное и долговечное покрытие, которое не доставит проблем при эксплуатации и уходе, стоит знать об основных его характеристиках. Одним из наиболее значимых показателей является истираемость линолеума.</w:t>
      </w:r>
    </w:p>
    <w:p>
      <w:pPr>
        <w:pStyle w:val="BodyText"/>
      </w:pPr>
      <w:r>
        <w:rPr>
          <w:iCs/>
          <w:i/>
          <w:bCs/>
          <w:b/>
        </w:rPr>
        <w:t xml:space="preserve">Испытания на машине барабанного типа</w:t>
      </w:r>
    </w:p>
    <w:p>
      <w:pPr>
        <w:pStyle w:val="BodyText"/>
      </w:pPr>
      <w:r>
        <w:t xml:space="preserve">Согласно ГОСТ 11529-2016 «Материалы поливинилхлоридные для полов. Методы контроля» для проведения испытания на истираемость следует использовать машину барабанного типа, схема которой указана на Рисунке 1.</w:t>
      </w:r>
    </w:p>
    <w:p>
      <w:pPr>
        <w:pStyle w:val="BodyText"/>
      </w:pPr>
      <w:r>
        <w:drawing>
          <wp:inline>
            <wp:extent cx="2858703" cy="19058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f3/72it59udyuz3ijh25i8hrs4fetiyq491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03" cy="1905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1 - полый цилиндр; 2 - шлифовальная шкурка; 3 - образец; 4 - держатель; 5 - патрон; 6 - каретка</w:t>
      </w:r>
    </w:p>
    <w:p>
      <w:pPr>
        <w:pStyle w:val="BodyText"/>
      </w:pPr>
      <w:r>
        <w:t xml:space="preserve">Сущность метода заключается в определении величины уменьшения толщины материала при истирании в течение заданного количества циклов испытания. В Испытательном лабораторном центре ГБУ «ЦЭИИС» для этой цели используется испытательная машина Zwick 6103 (Рис. 2).</w:t>
      </w:r>
    </w:p>
    <w:p>
      <w:pPr>
        <w:pStyle w:val="BodyText"/>
      </w:pPr>
      <w:r>
        <w:t xml:space="preserve">Определение истираемости линолеума на вышеуказанной испытательной машине проводят в следующем порядке:</w:t>
      </w:r>
    </w:p>
    <w:p>
      <w:pPr>
        <w:pStyle w:val="BodyText"/>
      </w:pPr>
      <w:r>
        <w:t xml:space="preserve">1. Образец приклеивают к основанию держателя.</w:t>
      </w:r>
    </w:p>
    <w:p>
      <w:pPr>
        <w:pStyle w:val="BodyText"/>
      </w:pPr>
      <w:r>
        <w:t xml:space="preserve">2. Держатель с образцом закрепляют в патроне машины, опускают его на поверхность барабана и включают электродвигатель.</w:t>
      </w:r>
    </w:p>
    <w:p>
      <w:pPr>
        <w:pStyle w:val="BodyText"/>
      </w:pPr>
      <w:r>
        <w:t xml:space="preserve">3. Истирание образца проводят каждый раз по неистертому участку поверхности шлифовальной шкурки в течение одного рабочего цикла машины.</w:t>
      </w:r>
    </w:p>
    <w:p>
      <w:pPr>
        <w:pStyle w:val="BodyText"/>
      </w:pPr>
      <w:r>
        <w:t xml:space="preserve">4. По окончании испытания держатель с образцом вынимают из патрона, очищают щеткой от продуктов износа и взвешивают (Рис. 3).</w:t>
      </w:r>
    </w:p>
    <w:p>
      <w:pPr>
        <w:pStyle w:val="BodyText"/>
      </w:pPr>
      <w:r>
        <w:drawing>
          <wp:inline>
            <wp:extent cx="5334000" cy="29743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18/m3a1tvygch7dzyc6j615h6astn59eo3b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4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2738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d3/vi1tbcs1c9tz0vm9cvh3em20tphmewrf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7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Истираемость Δh, мкм по ГОСТ 11529-2016, п 6.1 рассчитывали по формуле:</w:t>
      </w:r>
    </w:p>
    <w:p>
      <w:pPr>
        <w:pStyle w:val="BodyText"/>
      </w:pPr>
      <w:r>
        <w:drawing>
          <wp:inline>
            <wp:extent cx="1944303" cy="5967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a5/wvbe97muy7j9r3p8v37wb9n5pjdm0xyn/f.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03" cy="5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где</w:t>
      </w:r>
      <w:r>
        <w:t xml:space="preserve"> </w:t>
      </w:r>
      <w:r>
        <w:rPr>
          <w:iCs/>
          <w:i/>
        </w:rPr>
        <w:t xml:space="preserve">m</w:t>
      </w:r>
      <w:r>
        <w:rPr>
          <w:vertAlign w:val="subscript"/>
        </w:rPr>
        <w:t xml:space="preserve">1</w:t>
      </w:r>
      <w:r>
        <w:t xml:space="preserve"> </w:t>
      </w:r>
      <w:r>
        <w:t xml:space="preserve">- масса образца с держателем до испытания, г;</w:t>
      </w:r>
    </w:p>
    <w:p>
      <w:pPr>
        <w:pStyle w:val="BodyText"/>
      </w:pPr>
      <w:r>
        <w:rPr>
          <w:iCs/>
          <w:i/>
        </w:rPr>
        <w:t xml:space="preserve">m</w:t>
      </w:r>
      <w:r>
        <w:rPr>
          <w:vertAlign w:val="subscript"/>
        </w:rPr>
        <w:t xml:space="preserve">2</w:t>
      </w:r>
      <w:r>
        <w:t xml:space="preserve"> </w:t>
      </w:r>
      <w:r>
        <w:t xml:space="preserve">- масса образца с держателем после испытания, г;</w:t>
      </w:r>
    </w:p>
    <w:p>
      <w:pPr>
        <w:pStyle w:val="BodyText"/>
      </w:pPr>
      <w:r>
        <w:rPr>
          <w:iCs/>
          <w:i/>
        </w:rPr>
        <w:t xml:space="preserve">K</w:t>
      </w:r>
      <w:r>
        <w:t xml:space="preserve"> </w:t>
      </w:r>
      <w:r>
        <w:t xml:space="preserve">- коэффициент истирающей способности шлифовальной шкурки;</w:t>
      </w:r>
    </w:p>
    <w:p>
      <w:pPr>
        <w:pStyle w:val="BodyText"/>
      </w:pPr>
      <w:r>
        <w:t xml:space="preserve">γ - плотность слоя износа материала, г/см</w:t>
      </w:r>
      <w:r>
        <w:rPr>
          <w:vertAlign w:val="superscript"/>
        </w:rPr>
        <w:t xml:space="preserve">3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S</w:t>
      </w:r>
      <w:r>
        <w:t xml:space="preserve"> </w:t>
      </w:r>
      <w:r>
        <w:t xml:space="preserve">- площадь истирания;</w:t>
      </w:r>
    </w:p>
    <w:p>
      <w:pPr>
        <w:pStyle w:val="BodyText"/>
      </w:pPr>
      <w:r>
        <w:t xml:space="preserve">10</w:t>
      </w:r>
      <w:r>
        <w:rPr>
          <w:vertAlign w:val="superscript"/>
        </w:rPr>
        <w:t xml:space="preserve">4</w:t>
      </w:r>
      <w:r>
        <w:t xml:space="preserve"> </w:t>
      </w:r>
      <w:r>
        <w:t xml:space="preserve">- коэффициент пересчета.</w:t>
      </w:r>
    </w:p>
    <w:p>
      <w:pPr>
        <w:pStyle w:val="BodyText"/>
      </w:pPr>
      <w:r>
        <w:t xml:space="preserve">Площадь истирания S, см</w:t>
      </w:r>
      <w:r>
        <w:rPr>
          <w:vertAlign w:val="superscript"/>
        </w:rPr>
        <w:t xml:space="preserve">2</w:t>
      </w:r>
      <w:r>
        <w:t xml:space="preserve">, равную площади образца, рассчитывали по формуле</w:t>
      </w:r>
    </w:p>
    <w:p>
      <w:pPr>
        <w:pStyle w:val="BodyText"/>
      </w:pPr>
      <w:r>
        <w:drawing>
          <wp:inline>
            <wp:extent cx="1318661" cy="5967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0d/hulmlf7xytx39ed0q8zib57tp23bcbax/f.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661" cy="5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где D – диаметр образца, см.</w:t>
      </w:r>
    </w:p>
    <w:p>
      <w:pPr>
        <w:pStyle w:val="BodyText"/>
      </w:pPr>
      <w:r>
        <w:t xml:space="preserve">Результаты выполненных работ представлены в Таблице 1.</w:t>
      </w:r>
    </w:p>
    <w:p>
      <w:pPr>
        <w:pStyle w:val="BodyText"/>
      </w:pPr>
      <w:r>
        <w:drawing>
          <wp:inline>
            <wp:extent cx="5334000" cy="286531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99/1uk3fmq87hxuyar4m3wdy5bqnvohdsgc/tablitsa-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Испытания на ротационном абразиметре Taber 5155</w:t>
      </w:r>
    </w:p>
    <w:p>
      <w:pPr>
        <w:pStyle w:val="BodyText"/>
      </w:pPr>
      <w:r>
        <w:t xml:space="preserve">В Лаборатории испытаний строительных материалов и конструкций ГБУ «ЦЭИИС» используется еще одно оборудование для испытания устойчивости материалов к истиранию – ротационный абразиметр Taber 5155 (Рис. 4).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d9/k2tswn0jl63cadty243kdumnmv9paz71/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Принцип работы Taber 5155 заключается в следующем: усилие истирания на приборе создается в месте контакта испытуемого материала, установленного на вращающейся платформе, и двух абразивных роликов, вращающихся в противоположном направлении. Вращение роликов осуществляется благодаря вращению платформы. Один ролик истирает образец в направлении от центра платформы к ее периферии, другой ролик – в противоположном направлении.</w:t>
      </w:r>
    </w:p>
    <w:p>
      <w:pPr>
        <w:pStyle w:val="BodyText"/>
      </w:pPr>
      <w:r>
        <w:t xml:space="preserve">С целью выяснения возможности применения абразиметра Taber 5155 для определения истираемости линолеума далее повторили испытание тех же образцов (гомогенного, гетерогенного и спортивного) на вышеуказанной машине.</w:t>
      </w:r>
    </w:p>
    <w:p>
      <w:pPr>
        <w:pStyle w:val="BodyText"/>
      </w:pPr>
      <w:r>
        <w:t xml:space="preserve">Для проведения испытания подготовили по четыре образца линолеума каждого вида (один из которых контрольный) размером (100×100) мм и толщиной равной толщине образца, в центре которых просверлили отверстие диаметром 7,0 мм (Рис.5).</w:t>
      </w:r>
    </w:p>
    <w:p>
      <w:pPr>
        <w:pStyle w:val="BodyText"/>
      </w:pPr>
      <w:r>
        <w:drawing>
          <wp:inline>
            <wp:extent cx="4189614" cy="256032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8c/ygh6j30y8lfoumo2v218w58ievmyowoq/5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614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было отмечено выше, к лицевой поверхности образцов прижимается абразивный инструмент - шлифовальный круг (H-22 Calibrade). Образцы закрепляют на поворотных столах прибора, опускают на их поверхность фрикционные ролики и включают прибор. Масса груза на каждый фрикционный ролик составляет 1000 г.</w:t>
      </w:r>
    </w:p>
    <w:p>
      <w:pPr>
        <w:pStyle w:val="BodyText"/>
      </w:pPr>
      <w:r>
        <w:t xml:space="preserve">Результаты истирания разных типов линолеума на ротационном абразиметре Taber 5155 представлены в виде графиков на Рис. 6.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Гомогенный линолеум</w:t>
      </w:r>
    </w:p>
    <w:p>
      <w:pPr>
        <w:pStyle w:val="BodyText"/>
      </w:pPr>
      <w:r>
        <w:drawing>
          <wp:inline>
            <wp:extent cx="5334000" cy="224447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03/fkgm3civspdsgezw4vlnxenppodv11mr/tablitsa-2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4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Гетерогенный линолеум</w:t>
      </w:r>
    </w:p>
    <w:p>
      <w:pPr>
        <w:pStyle w:val="BodyText"/>
      </w:pPr>
      <w:r>
        <w:drawing>
          <wp:inline>
            <wp:extent cx="5334000" cy="210411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06/33jgawnuqizry1zfotkh2fcptr4zrcpf/tablitsa-3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4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Спортивный линолеум</w:t>
      </w:r>
    </w:p>
    <w:p>
      <w:pPr>
        <w:pStyle w:val="BodyText"/>
      </w:pPr>
      <w:r>
        <w:drawing>
          <wp:inline>
            <wp:extent cx="5334000" cy="219242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68/a5tc0x5pmmzfgmd2wqlxihth0h7lntmm/tablitsa-4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2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Результаты выполненных работ представлены в Таблице 2.</w:t>
      </w:r>
    </w:p>
    <w:p>
      <w:pPr>
        <w:pStyle w:val="BodyText"/>
      </w:pPr>
      <w:r>
        <w:drawing>
          <wp:inline>
            <wp:extent cx="5334000" cy="335338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80/mvwonzqw3mq9tbezth37shki2ikef1vu/tablitsa-5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3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Результатом испытания линолеума по ГОСТ 11529-2016, п 6.1, является показатель истираемости по уменьшению толщины материала Δh при истирании в течение заданного числа циклов испытания. Для того, чтобы провести сравнительный анализ работы двух приборов следует определить потерю массы для испытаний на ротационном абразиметре Taber 5155, которую рассчитывают по формуле</w:t>
      </w:r>
      <w:r>
        <w:br/>
      </w:r>
    </w:p>
    <w:p>
      <w:pPr>
        <w:pStyle w:val="BodyText"/>
      </w:pPr>
      <w:r>
        <w:drawing>
          <wp:inline>
            <wp:extent cx="2627696" cy="895149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6d/jqfu30e69jt2mk8ki0giskrsfh5c1q1k/f.3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96" cy="895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где</w:t>
      </w:r>
      <w:r>
        <w:t xml:space="preserve"> </w:t>
      </w:r>
      <w:r>
        <w:rPr>
          <w:iCs/>
          <w:i/>
        </w:rPr>
        <w:t xml:space="preserve">m</w:t>
      </w:r>
      <w:r>
        <w:rPr>
          <w:vertAlign w:val="subscript"/>
          <w:iCs/>
          <w:i/>
        </w:rPr>
        <w:t xml:space="preserve">1</w:t>
      </w:r>
      <w:r>
        <w:rPr>
          <w:iCs/>
          <w:i/>
        </w:rP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масса образца с держателем до испытания, г;</w:t>
      </w:r>
    </w:p>
    <w:p>
      <w:pPr>
        <w:pStyle w:val="BodyText"/>
      </w:pPr>
      <w:r>
        <w:rPr>
          <w:iCs/>
          <w:i/>
        </w:rPr>
        <w:t xml:space="preserve">m</w:t>
      </w:r>
      <w:r>
        <w:rPr>
          <w:vertAlign w:val="subscript"/>
          <w:iCs/>
          <w:i/>
        </w:rPr>
        <w:t xml:space="preserve">2</w:t>
      </w:r>
      <w:r>
        <w:rPr>
          <w:iCs/>
          <w:i/>
        </w:rP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масса образца с держателем после испытания, г;</w:t>
      </w:r>
    </w:p>
    <w:p>
      <w:pPr>
        <w:pStyle w:val="BodyText"/>
      </w:pPr>
      <w:r>
        <w:rPr>
          <w:iCs/>
          <w:i/>
        </w:rPr>
        <w:t xml:space="preserve">S —</w:t>
      </w:r>
      <w:r>
        <w:t xml:space="preserve"> </w:t>
      </w:r>
      <w:r>
        <w:t xml:space="preserve">площадь истирания, 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Количество циклов истирания определили по методу измерения потери массы. Путем вычисления разницы массы образца до и после испытания, которое проводили через каждые 50 оборотов стола, визуально оценивали степень истирания поверхности, не меняя положения образца и фрикционных роликов. После того, как произошло истирание декоративного рисунка на 50%, прибор выключили и по счетчику определили число оборотов стола.</w:t>
      </w:r>
    </w:p>
    <w:p>
      <w:pPr>
        <w:pStyle w:val="BodyText"/>
      </w:pPr>
      <w:r>
        <w:t xml:space="preserve">Сравнительный результат потери массы представлен в Таблице 3.</w:t>
      </w:r>
    </w:p>
    <w:p>
      <w:pPr>
        <w:pStyle w:val="BodyText"/>
      </w:pPr>
      <w:r>
        <w:drawing>
          <wp:inline>
            <wp:extent cx="5334000" cy="324411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12/istn4hupinowefg25t6jnhya2p5wvrw0/tablitsa-6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4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В ходе выполненных испытаний на истираемость нескольких типов линолеума с использованием разного оборудования на образцах с различной площадью истирания были сделаны следующие выводы:</w:t>
      </w:r>
    </w:p>
    <w:p>
      <w:pPr>
        <w:pStyle w:val="BodyText"/>
      </w:pPr>
      <w:r>
        <w:t xml:space="preserve">1. Эффективная возможность использования имеющегося в лаборатории оборудования по определению истираемости линолеума</w:t>
      </w:r>
      <w:r>
        <w:rPr>
          <w:bCs/>
          <w:b/>
        </w:rPr>
        <w:t xml:space="preserve">:</w:t>
      </w:r>
      <w:r>
        <w:t xml:space="preserve"> </w:t>
      </w:r>
      <w:r>
        <w:t xml:space="preserve">испытательной машины Zwick 6103 и ротационного абразиметра Taber 5155;</w:t>
      </w:r>
    </w:p>
    <w:p>
      <w:pPr>
        <w:pStyle w:val="BodyText"/>
      </w:pPr>
      <w:r>
        <w:t xml:space="preserve">2. Для гомогенного линолеума рассчитанный показатель потери массы на испытательной машине Zwick 6103 соответствует 4000 циклов истирания на ротационном абразиметре Taber 5155;</w:t>
      </w:r>
    </w:p>
    <w:p>
      <w:pPr>
        <w:pStyle w:val="BodyText"/>
      </w:pPr>
      <w:r>
        <w:t xml:space="preserve">3. Для гетерогенного линолеума рассчитанный показатель потери массы на испытательной машине Zwick 6103 соответствует 6000 циклов истирания на ротационном абразиметре Taber 5155;</w:t>
      </w:r>
    </w:p>
    <w:p>
      <w:pPr>
        <w:pStyle w:val="BodyText"/>
      </w:pPr>
      <w:r>
        <w:t xml:space="preserve">4. Для спортивного линолеума рассчитанный показатель потери массы на испытательной машине Zwick 6103 соответствует 4500 циклов истирания на ротационном абразиметре Taber 5155.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Лузина А.Ю.,</w:t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Морева И.Д.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2">
        <w:r>
          <w:rPr>
            <w:rStyle w:val="Hyperlink"/>
          </w:rPr>
          <w:t xml:space="preserve">http://ceiis.mos.ru/presscenter/nauchno-publitsisticheskie-stati/detail/11998599.html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ГБУ города Москвы «ЦЭИИС»</w:t>
        </w:r>
      </w:hyperlink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png" /><Relationship Type="http://schemas.openxmlformats.org/officeDocument/2006/relationships/image" Id="rId35" Target="media/rId35.png" /><Relationship Type="http://schemas.openxmlformats.org/officeDocument/2006/relationships/image" Id="rId26" Target="media/rId26.jpg" /><Relationship Type="http://schemas.openxmlformats.org/officeDocument/2006/relationships/image" Id="rId50" Target="media/rId50.png" /><Relationship Type="http://schemas.openxmlformats.org/officeDocument/2006/relationships/image" Id="rId29" Target="media/rId29.png" /><Relationship Type="http://schemas.openxmlformats.org/officeDocument/2006/relationships/image" Id="rId59" Target="media/rId59.png" /><Relationship Type="http://schemas.openxmlformats.org/officeDocument/2006/relationships/image" Id="rId44" Target="media/rId44.png" /><Relationship Type="http://schemas.openxmlformats.org/officeDocument/2006/relationships/image" Id="rId32" Target="media/rId32.png" /><Relationship Type="http://schemas.openxmlformats.org/officeDocument/2006/relationships/image" Id="rId23" Target="media/rId23.jpg" /><Relationship Type="http://schemas.openxmlformats.org/officeDocument/2006/relationships/image" Id="rId53" Target="media/rId53.png" /><Relationship Type="http://schemas.openxmlformats.org/officeDocument/2006/relationships/image" Id="rId20" Target="media/rId20.png" /><Relationship Type="http://schemas.openxmlformats.org/officeDocument/2006/relationships/image" Id="rId56" Target="media/rId56.pn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63" Target="http://ceiis.mos.ru" TargetMode="External" /><Relationship Type="http://schemas.openxmlformats.org/officeDocument/2006/relationships/hyperlink" Id="rId62" Target="http://ceiis.mos.ru/presscenter/nauchno-publitsisticheskie-stati/detail/11998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://ceiis.mos.ru" TargetMode="External" /><Relationship Type="http://schemas.openxmlformats.org/officeDocument/2006/relationships/hyperlink" Id="rId62" Target="http://ceiis.mos.ru/presscenter/nauchno-publitsisticheskie-stati/detail/11998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2025-04-10T00:18:16Z</dcterms:created>
  <dcterms:modified xsi:type="dcterms:W3CDTF">2025-04-10T00:18:16Z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