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29.png" ContentType="image/png"/>
  <Override PartName="/word/media/rId23.png" ContentType="image/png"/>
  <Override PartName="/word/media/rId26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52fefe3dae39fa2862ae984aa194c157a0d819"/>
    <w:p>
      <w:pPr>
        <w:pStyle w:val="Heading3"/>
      </w:pPr>
      <w:r>
        <w:t xml:space="preserve">Оксиды азота в атмосферном воздухе. Их влияние на организм человека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Оксиды азота в атмосферном воздухе относятся к токсическим веществам, негативно влияющим на здоровье живого организма.</w:t>
      </w:r>
    </w:p>
    <w:p>
      <w:pPr>
        <w:pStyle w:val="BodyText"/>
      </w:pPr>
      <w:r>
        <w:t xml:space="preserve">Основными источниками поступления оксидов азота NO</w:t>
      </w:r>
      <w:r>
        <w:rPr>
          <w:vertAlign w:val="subscript"/>
        </w:rPr>
        <w:t xml:space="preserve">x</w:t>
      </w:r>
      <w:r>
        <w:t xml:space="preserve"> </w:t>
      </w:r>
      <w:r>
        <w:t xml:space="preserve">(NO + NO</w:t>
      </w:r>
      <w:r>
        <w:rPr>
          <w:vertAlign w:val="subscript"/>
        </w:rPr>
        <w:t xml:space="preserve">2</w:t>
      </w:r>
      <w:r>
        <w:t xml:space="preserve">) в атмосферный воздух являются:</w:t>
      </w:r>
    </w:p>
    <w:p>
      <w:pPr>
        <w:pStyle w:val="BodyText"/>
      </w:pPr>
      <w:r>
        <w:t xml:space="preserve">- сжигание ископаемого топлива (уголь, нефть, газ);</w:t>
      </w:r>
    </w:p>
    <w:p>
      <w:pPr>
        <w:pStyle w:val="BodyText"/>
      </w:pPr>
      <w:r>
        <w:t xml:space="preserve">- жизнедеятельность почвенных бактерий;</w:t>
      </w:r>
    </w:p>
    <w:p>
      <w:pPr>
        <w:pStyle w:val="BodyText"/>
      </w:pPr>
      <w:r>
        <w:t xml:space="preserve">- грозовые разряды, извержения вулканов;</w:t>
      </w:r>
    </w:p>
    <w:p>
      <w:pPr>
        <w:pStyle w:val="BodyText"/>
      </w:pPr>
      <w:r>
        <w:t xml:space="preserve">- лесные пожары;</w:t>
      </w:r>
    </w:p>
    <w:p>
      <w:pPr>
        <w:pStyle w:val="BodyText"/>
      </w:pPr>
      <w:r>
        <w:t xml:space="preserve">- предприятия, производящие азотные удобрения,</w:t>
      </w:r>
    </w:p>
    <w:p>
      <w:pPr>
        <w:pStyle w:val="BodyText"/>
      </w:pPr>
      <w:r>
        <w:t xml:space="preserve">- предприятия производящие и использующие нитраты и азотную кислоту;</w:t>
      </w:r>
    </w:p>
    <w:p>
      <w:pPr>
        <w:pStyle w:val="BodyText"/>
      </w:pPr>
      <w:r>
        <w:t xml:space="preserve">- предприятия, производящие вискозное волокно;</w:t>
      </w:r>
    </w:p>
    <w:p>
      <w:pPr>
        <w:pStyle w:val="BodyText"/>
      </w:pPr>
      <w:r>
        <w:t xml:space="preserve">- предприятия, производящие взрывчатые вещества.</w:t>
      </w:r>
    </w:p>
    <w:p>
      <w:pPr>
        <w:pStyle w:val="BodyText"/>
      </w:pPr>
      <w:r>
        <w:t xml:space="preserve">Сжигание органического топлива, в том числе природного газа, приводит к загрязнению атмосферы. Это может выражаться как на региональном уровне в виде кислотных дождей, так и на локальном в виде повышения концентрации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в воздухе и фотохимический смог.</w:t>
      </w:r>
    </w:p>
    <w:p>
      <w:pPr>
        <w:pStyle w:val="BodyText"/>
      </w:pPr>
      <w:r>
        <w:t xml:space="preserve">Доказано, что повышенные концентрации оксидов азота в приземном слое воздуха оказывают вредное воздействие на здоровье человека, на растительный и животный мир.</w:t>
      </w:r>
      <w:r>
        <w:br/>
      </w:r>
    </w:p>
    <w:p>
      <w:pPr>
        <w:pStyle w:val="BodyText"/>
      </w:pPr>
      <w:r>
        <w:drawing>
          <wp:inline>
            <wp:extent cx="5334000" cy="2370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dd/haosxzmw237p1l3tvolbji9rp73rit1g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0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iCs/>
          <w:i/>
        </w:rPr>
        <w:t xml:space="preserve">Закись азота (N</w:t>
      </w:r>
      <w:r>
        <w:rPr>
          <w:vertAlign w:val="subscript"/>
          <w:u w:val="single"/>
          <w:iCs/>
          <w:i/>
        </w:rPr>
        <w:t xml:space="preserve">2</w:t>
      </w:r>
      <w:r>
        <w:rPr>
          <w:u w:val="single"/>
          <w:iCs/>
          <w:i/>
        </w:rPr>
        <w:t xml:space="preserve">O)</w:t>
      </w:r>
      <w:r>
        <w:t xml:space="preserve"> </w:t>
      </w:r>
      <w:r>
        <w:t xml:space="preserve">представляет собой бесцветный газ со слабым запахом и сладковатым вкусом. Он образуется, главным образом, естественным путем. N</w:t>
      </w:r>
      <w:r>
        <w:rPr>
          <w:vertAlign w:val="subscript"/>
        </w:rPr>
        <w:t xml:space="preserve">2</w:t>
      </w:r>
      <w:r>
        <w:t xml:space="preserve">O в смеси с кислородом применяют для наркоза, т.к. небольшое его количество вызывает притупление болевой чувствительности. В малых количествах закись азота вызывает чувство опьянения (отсюда название «веселящий газ»). Вдыхание чистого N</w:t>
      </w:r>
      <w:r>
        <w:rPr>
          <w:vertAlign w:val="subscript"/>
        </w:rPr>
        <w:t xml:space="preserve">2</w:t>
      </w:r>
      <w:r>
        <w:t xml:space="preserve">O быстро вызывает наркотическое состояние и удушье. Опасен для здоровья.</w:t>
      </w:r>
    </w:p>
    <w:p>
      <w:pPr>
        <w:pStyle w:val="BodyText"/>
      </w:pPr>
      <w:r>
        <w:t xml:space="preserve">Оксид азота NO и диоксид азота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в атмосфере встречаются вместе, поэтому чаще всего оценивают их совместное воздействие на организм человека.</w:t>
      </w:r>
    </w:p>
    <w:p>
      <w:pPr>
        <w:pStyle w:val="BodyText"/>
      </w:pPr>
      <w:r>
        <w:t xml:space="preserve">Только вблизи источника выбросов отмечается высокая концентрация NO. При сгорании топлива в автомобилях и в тепловых электростанциях примерно 90% оксидов азота образуется в форме оксида азота. Оставшиеся 10% приходятся на диоксид азота. Однако, в ходе химических реакций значительная часть NO превращается в NO</w:t>
      </w:r>
      <w:r>
        <w:rPr>
          <w:vertAlign w:val="subscript"/>
        </w:rPr>
        <w:t xml:space="preserve">2</w:t>
      </w:r>
      <w:r>
        <w:t xml:space="preserve">.</w:t>
      </w:r>
    </w:p>
    <w:p>
      <w:pPr>
        <w:pStyle w:val="BodyText"/>
      </w:pPr>
      <w:r>
        <w:rPr>
          <w:u w:val="single"/>
          <w:iCs/>
          <w:i/>
        </w:rPr>
        <w:t xml:space="preserve">Оксид азота NO</w:t>
      </w:r>
      <w:r>
        <w:t xml:space="preserve"> </w:t>
      </w:r>
      <w:r>
        <w:t xml:space="preserve">представляет собой бесцветный газ. Он не раздражает дыхательные пути, и поэтому человек может его не почувствовать. Однако, при вдыхании NO связывается с гемоглобином. В ходе химических реакций в организме происходит затруднение переноса кислорода. Но к летальному исходу избыток NO может привести только в закрытый помещениях. На открытом воздухе достигнуть критической концентрации оксида азота невозможно.</w:t>
      </w:r>
    </w:p>
    <w:p>
      <w:pPr>
        <w:pStyle w:val="BodyText"/>
      </w:pPr>
      <w:r>
        <w:t xml:space="preserve">По мере удаления от источника выброса NO превращается в</w:t>
      </w:r>
      <w:r>
        <w:t xml:space="preserve"> </w:t>
      </w:r>
      <w:r>
        <w:rPr>
          <w:u w:val="single"/>
          <w:iCs/>
          <w:i/>
        </w:rPr>
        <w:t xml:space="preserve">диоксид азота NO</w:t>
      </w:r>
      <w:r>
        <w:rPr>
          <w:vertAlign w:val="subscript"/>
          <w:u w:val="single"/>
          <w:iCs/>
          <w:i/>
        </w:rPr>
        <w:t xml:space="preserve">2</w:t>
      </w:r>
      <w:r>
        <w:t xml:space="preserve"> </w:t>
      </w:r>
      <w:r>
        <w:t xml:space="preserve">– бурый газ, обладающий резким неприятным запахом. Диоксид азота является гораздо более опасным соединением, чем оксид азота.</w:t>
      </w:r>
    </w:p>
    <w:p>
      <w:pPr>
        <w:pStyle w:val="BodyText"/>
      </w:pPr>
      <w:r>
        <w:rPr>
          <w:bCs/>
          <w:b/>
        </w:rPr>
        <w:t xml:space="preserve">2NO + 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 </w:t>
      </w:r>
      <w:r>
        <w:rPr>
          <w:bCs/>
          <w:b/>
        </w:rPr>
        <w:t xml:space="preserve">= 2NO</w:t>
      </w:r>
      <w:r>
        <w:rPr>
          <w:vertAlign w:val="subscript"/>
          <w:bCs/>
          <w:b/>
        </w:rPr>
        <w:t xml:space="preserve">2</w:t>
      </w:r>
    </w:p>
    <w:p>
      <w:pPr>
        <w:pStyle w:val="BodyText"/>
      </w:pPr>
      <w:r>
        <w:t xml:space="preserve">Диоксид азота сильно раздражает слизистые оболочки дыхательных путей. При продолжительном вдыхании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появляется сухость и першение в горле, ослабевает обоняние и зрительные реакции. Может существенно снизиться способность глаз адаптироваться к темноте. Также человек может испытывать затрудненность дыхания, особенно это проявляется у людей с хроническими заболеваниями.</w:t>
      </w:r>
    </w:p>
    <w:p>
      <w:pPr>
        <w:pStyle w:val="BodyText"/>
      </w:pPr>
      <w:r>
        <w:t xml:space="preserve">Кроме того, при отравлении диоксидом азота может появиться головная боль, повышенная потливость, боль в животе, головокружение, сонливость, слабость, тошнота, помутнение сознания, в особо тяжелых случаях – судороги и потеря сознания.</w:t>
      </w:r>
    </w:p>
    <w:p>
      <w:pPr>
        <w:pStyle w:val="BodyText"/>
      </w:pPr>
      <w:r>
        <w:t xml:space="preserve">Повышенные концентрации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делают человека более восприимчивым к патогенам, вызывающим болезни дыхательных путей, а именно катар верхних дыхательных путей, бронхиты, круп и воспаление легких.</w:t>
      </w:r>
    </w:p>
    <w:p>
      <w:pPr>
        <w:pStyle w:val="BodyText"/>
      </w:pPr>
      <w:r>
        <w:t xml:space="preserve">Влияние высоких концентраций оксидов азота проявляется также в ухедшении обмена витаминов B и С, случаются нарушения внутриутробного развития эмбрионов человека.</w:t>
      </w:r>
    </w:p>
    <w:p>
      <w:pPr>
        <w:pStyle w:val="BodyText"/>
      </w:pPr>
      <w:r>
        <w:t xml:space="preserve">Попадая в организм человека,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при контакте с влагой образует азотистую и азотную кислоты, которые разъедают стенки альвеол легких.</w:t>
      </w:r>
    </w:p>
    <w:p>
      <w:pPr>
        <w:pStyle w:val="BodyText"/>
      </w:pPr>
      <w:r>
        <w:rPr>
          <w:bCs/>
          <w:b/>
        </w:rPr>
        <w:t xml:space="preserve">2NO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 </w:t>
      </w:r>
      <w:r>
        <w:rPr>
          <w:bCs/>
          <w:b/>
        </w:rPr>
        <w:t xml:space="preserve">+ H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O = HNO</w:t>
      </w:r>
      <w:r>
        <w:rPr>
          <w:vertAlign w:val="subscript"/>
          <w:bCs/>
          <w:b/>
        </w:rPr>
        <w:t xml:space="preserve">3</w:t>
      </w:r>
      <w:r>
        <w:rPr>
          <w:bCs/>
          <w:b/>
        </w:rPr>
        <w:t xml:space="preserve"> </w:t>
      </w:r>
      <w:r>
        <w:rPr>
          <w:bCs/>
          <w:b/>
        </w:rPr>
        <w:t xml:space="preserve">+ HNO</w:t>
      </w:r>
      <w:r>
        <w:rPr>
          <w:vertAlign w:val="subscript"/>
          <w:bCs/>
          <w:b/>
        </w:rPr>
        <w:t xml:space="preserve">2</w:t>
      </w:r>
    </w:p>
    <w:p>
      <w:pPr>
        <w:pStyle w:val="BodyText"/>
      </w:pPr>
      <w:r>
        <w:t xml:space="preserve">При этом стенки альвеол и кровеносных капилляров становятся настолько проницаемыми, что пропускают сыворотку крови в полость легких. Дальнейший газообмен сильно затруднён, возникает отёк легких, который может привести к летальному исходу.</w:t>
      </w:r>
    </w:p>
    <w:p>
      <w:pPr>
        <w:pStyle w:val="BodyText"/>
      </w:pPr>
      <w:r>
        <w:t xml:space="preserve">Длительное воздействие оксидов азота на организм человека приводит к хроническому воспалению ткани легких и по призна</w:t>
      </w:r>
      <w:r>
        <w:softHyphen/>
      </w:r>
      <w:r>
        <w:t xml:space="preserve">кам напоминает эмфизему, а также вызывает ухудшение сопротивляемости тканей легких к бактериям, что усиливает восприимчивость к ин</w:t>
      </w:r>
      <w:r>
        <w:softHyphen/>
      </w:r>
      <w:r>
        <w:t xml:space="preserve">фекционным заболеваниям.</w:t>
      </w:r>
    </w:p>
    <w:p>
      <w:pPr>
        <w:pStyle w:val="BodyText"/>
      </w:pPr>
      <w:r>
        <w:t xml:space="preserve">Загрязнение атмосферы оксидами азота может вызвать такое явление, как фотохимический смог. Он опасен тем, что в ходе химических реакций под воздействием УФИ образуются вещества, которые по токсичности превосходят исходные продукты, а также происходит накопление озона в тропосфере. Как итог, компоненты фотохимического смога оказывают раздражающее действие на слизистую глаз, верхних дыхательных путей, спо</w:t>
      </w:r>
      <w:r>
        <w:softHyphen/>
      </w:r>
      <w:r>
        <w:t xml:space="preserve">собствуют развитию аллергического конъюнктивита, вызывают сухость слизистых, вазомоторный ринит, насморк.</w:t>
      </w:r>
    </w:p>
    <w:p>
      <w:pPr>
        <w:pStyle w:val="BodyText"/>
      </w:pPr>
      <w:r>
        <w:t xml:space="preserve">Статистика показывает, что в районах с постоянно высоким содержанием в атмосфере диоксида азота наблюдается повышенное распространение онкологических заболеваний, хронических заболеваний дыхательных путей и сердечно-сосудистыми болезней.</w:t>
      </w:r>
    </w:p>
    <w:p>
      <w:pPr>
        <w:pStyle w:val="BodyText"/>
      </w:pPr>
      <w:r>
        <w:t xml:space="preserve">В большинстве развитых стран приняты законодательные ограничения по выбросам оксидов азота в атмосферу. Содержание оксидов азота в атмосферном воздухе контролируется лабораторно. В крупных городах ведется постоянных мониторинг. Измерение концентрации выбросов производится непосредственно в потоке газов. В России принята максимально разовая (усредненная за 20 мин) предельно-допустимая концентрация (ПДК) NO</w:t>
      </w:r>
      <w:r>
        <w:rPr>
          <w:vertAlign w:val="subscript"/>
        </w:rPr>
        <w:t xml:space="preserve">2</w:t>
      </w:r>
      <w:r>
        <w:t xml:space="preserve"> </w:t>
      </w:r>
      <w:r>
        <w:t xml:space="preserve">– 0,2 мг/м</w:t>
      </w:r>
      <w:r>
        <w:rPr>
          <w:vertAlign w:val="superscript"/>
        </w:rPr>
        <w:t xml:space="preserve">3</w:t>
      </w:r>
      <w:r>
        <w:t xml:space="preserve">, среднесуточная – 0,04 мг/м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(3-й класс опасности для атмосферного воздуха населенных мест).</w:t>
      </w:r>
    </w:p>
    <w:p>
      <w:pPr>
        <w:pStyle w:val="BodyText"/>
      </w:pPr>
      <w:r>
        <w:t xml:space="preserve">Однако, следует понимать, что NO</w:t>
      </w:r>
      <w:r>
        <w:rPr>
          <w:vertAlign w:val="subscript"/>
        </w:rPr>
        <w:t xml:space="preserve">2</w:t>
      </w:r>
      <w:r>
        <w:t xml:space="preserve"> </w:t>
      </w:r>
      <w:r>
        <w:t xml:space="preserve">представляет собой опасность для здоровья человека, даже если его концентрация в воздухе меньше установленной ПДК, особенно при длительном действии.</w:t>
      </w:r>
    </w:p>
    <w:p>
      <w:pPr>
        <w:pStyle w:val="BodyText"/>
      </w:pPr>
      <w:r>
        <w:t xml:space="preserve">Лаборатория санитарно-эпидемиологического и радиационного контроля ГБУ «Центр экспертиз, испытаний и исследований в строительстве» по заказу Комитета государственного строительного надзора осуществляет контроль концентраций вредных веществ в атмосферном воздухе на прилегающей территории от источников выбросов на строительных площадках г. Москвы. Оценка содержания оксидов азота проводится на этапе сноса строения в случае реновационных мероприятий, а также во время земляных работ, возведения подземных и надземных частей здания. Измерения массовых концентрации оксидов азота (NO, NO2) в атмосферном воздухе производится в пробах, отобранных с помощью сорбционных трубок или поглотителя Рыхтера, в лабораторных условиях с использованием Спектрофотометра двухлучевого сканирующий UV-1800.</w:t>
      </w:r>
    </w:p>
    <w:p>
      <w:pPr>
        <w:pStyle w:val="BodyText"/>
      </w:pPr>
      <w:r>
        <w:t xml:space="preserve">Методика, используемая лабораторией в рамках государственных проверок, позволяет определять массовые концентрации оксида азота NO и диоксида азота NО</w:t>
      </w:r>
      <w:r>
        <w:rPr>
          <w:vertAlign w:val="subscript"/>
        </w:rPr>
        <w:t xml:space="preserve">2</w:t>
      </w:r>
      <w:r>
        <w:t xml:space="preserve"> </w:t>
      </w:r>
      <w:r>
        <w:t xml:space="preserve">фотометрическим методом с использованием сульфаниловой кислоты и I-нафтиламина.</w:t>
      </w:r>
    </w:p>
    <w:p>
      <w:pPr>
        <w:pStyle w:val="BodyText"/>
      </w:pPr>
      <w:r>
        <w:t xml:space="preserve">Метод измерений основан на улавливании диоксида азота пленочным хемосорбентом на основе калия йодистого и последующем фотометрическом определении образующегося нитрит-иона по окраске продукта его реакции с сульфаниловой кислотой и I-нафтиламином. Определение оксида азота осуществляется таким же образом после окисления его до диоксида азота с помощью оксида хрома (VI), нанесенного на стеклянные гранулы.</w:t>
      </w:r>
    </w:p>
    <w:p>
      <w:pPr>
        <w:pStyle w:val="BodyText"/>
      </w:pPr>
      <w:r>
        <w:t xml:space="preserve">При определении массы оксида азота и диоксида азота в отобранной пробе производят следующие операции:</w:t>
      </w:r>
    </w:p>
    <w:p>
      <w:pPr>
        <w:pStyle w:val="BodyText"/>
      </w:pPr>
      <w:r>
        <w:t xml:space="preserve">- помещают сорбционную трубку в стакан вместимостью от 25 до 50 см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и заливают 8 см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дистиллированной воды;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93/bjm2ritx1qotf4dgp5viy1lhbue48158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переводят сорбированное вещество в раствор путем нескольких прокачиваний при помощи резиновой груши дистиллированной воды через сорбент, выдувают его остатки и вынимают сорбционную трубку из стаканчика. При наличии мути от взвешенных частиц раствор фильтруют через фильтр «красная лента»;</w:t>
      </w:r>
    </w:p>
    <w:p>
      <w:pPr>
        <w:pStyle w:val="BodyText"/>
      </w:pPr>
      <w:r>
        <w:t xml:space="preserve">- переносят в пробирку 5,0 см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элюата для анализа. К этому раствору добавляют 0,5 см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составного реактива и встряхивают. Через 20 мин определяют оптическую плотность раствора. Каждый раз одновременно готовят нулевой раствор, для чего сорбционную трубку (из той же партии подготовленных к отбору сорбционных трубок) анализируют аналогично пробе;</w:t>
      </w:r>
    </w:p>
    <w:p>
      <w:pPr>
        <w:pStyle w:val="BodyText"/>
      </w:pPr>
      <w:r>
        <w:drawing>
          <wp:inline>
            <wp:extent cx="4096010" cy="30730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16/xr5jdowcspwmcyzpdmxx99qh5psznnaj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010" cy="3073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находят с помощью градуировочной характеристики по разности результатов измерений оптической плотности растворов пробы и нулевого массу оксида азота или диоксида азота в пробе.</w:t>
      </w:r>
    </w:p>
    <w:p>
      <w:pPr>
        <w:pStyle w:val="BodyText"/>
      </w:pPr>
      <w:r>
        <w:t xml:space="preserve">Массовую концентрацию оксида азота и диоксида азота в исследуемом объеме воздуха, мг/м</w:t>
      </w:r>
      <w:r>
        <w:rPr>
          <w:vertAlign w:val="superscript"/>
        </w:rPr>
        <w:t xml:space="preserve">3</w:t>
      </w:r>
      <w:r>
        <w:t xml:space="preserve">, находят по формуле:</w:t>
      </w:r>
    </w:p>
    <w:p>
      <w:pPr>
        <w:pStyle w:val="BodyText"/>
      </w:pPr>
      <w:r>
        <w:drawing>
          <wp:inline>
            <wp:extent cx="760395" cy="46201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64/gijyvtsxkngkqlav8hpjgv7s9iuqvw2p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95" cy="462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, мг/м</w:t>
      </w:r>
      <w:r>
        <w:rPr>
          <w:vertAlign w:val="superscript"/>
        </w:rPr>
        <w:t xml:space="preserve">3</w:t>
      </w:r>
      <w:r>
        <w:t xml:space="preserve">,</w:t>
      </w:r>
    </w:p>
    <w:p>
      <w:pPr>
        <w:pStyle w:val="BodyText"/>
      </w:pPr>
      <w:r>
        <w:t xml:space="preserve">где m – масса оксида азота или диоксида азота в анализируемом объеме раствора пробы, найденная по градуировочному графику, мкг;</w:t>
      </w:r>
      <w:r>
        <w:t xml:space="preserve"> </w:t>
      </w:r>
      <w:bookmarkStart w:id="32" w:name="P010E"/>
      <w:bookmarkEnd w:id="32"/>
    </w:p>
    <w:p>
      <w:pPr>
        <w:pStyle w:val="BodyText"/>
      </w:pPr>
      <w:r>
        <w:t xml:space="preserve">V - общий объём элюата, см</w:t>
      </w:r>
      <w:r>
        <w:rPr>
          <w:vertAlign w:val="superscript"/>
        </w:rPr>
        <w:t xml:space="preserve">3</w:t>
      </w:r>
      <w:r>
        <w:t xml:space="preserve">;</w:t>
      </w:r>
      <w:r>
        <w:t xml:space="preserve"> </w:t>
      </w:r>
      <w:bookmarkStart w:id="33" w:name="P0110"/>
      <w:bookmarkEnd w:id="33"/>
    </w:p>
    <w:p>
      <w:pPr>
        <w:pStyle w:val="BodyText"/>
      </w:pPr>
      <w:r>
        <w:t xml:space="preserve">V - объём анализируемого раствора, см</w:t>
      </w:r>
      <w:r>
        <w:rPr>
          <w:vertAlign w:val="superscript"/>
        </w:rPr>
        <w:t xml:space="preserve">3</w:t>
      </w:r>
      <w:r>
        <w:t xml:space="preserve">;</w:t>
      </w:r>
      <w:r>
        <w:t xml:space="preserve"> </w:t>
      </w:r>
      <w:bookmarkStart w:id="34" w:name="P0112"/>
      <w:bookmarkEnd w:id="34"/>
    </w:p>
    <w:p>
      <w:pPr>
        <w:pStyle w:val="BodyText"/>
      </w:pPr>
      <w:r>
        <w:t xml:space="preserve">V - объем воздуха, взятого на анализ, приведенный к нормальным условиям, дм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BodyText"/>
      </w:pPr>
      <w:r>
        <w:t xml:space="preserve">Результат анализа представляют в виде</w:t>
      </w:r>
    </w:p>
    <w:p>
      <w:pPr>
        <w:pStyle w:val="BodyText"/>
      </w:pPr>
      <w:r>
        <w:drawing>
          <wp:inline>
            <wp:extent cx="1386037" cy="25988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48/2ipmc0tj2qovyfxw90e9xqjmkgoy66vr/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37" cy="259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, мг/м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при Р=0,95</w:t>
      </w:r>
    </w:p>
    <w:p>
      <w:pPr>
        <w:pStyle w:val="BodyText"/>
      </w:pPr>
      <w:r>
        <w:t xml:space="preserve">где С</w:t>
      </w:r>
      <w:r>
        <w:rPr>
          <w:vertAlign w:val="subscript"/>
        </w:rPr>
        <w:t xml:space="preserve">NО2</w:t>
      </w:r>
      <w:r>
        <w:t xml:space="preserve"> </w:t>
      </w:r>
      <w:r>
        <w:t xml:space="preserve">- измеренная массовая концентрация определяемого газа в воздухе, мг/м</w:t>
      </w:r>
      <w:r>
        <w:rPr>
          <w:vertAlign w:val="superscript"/>
        </w:rPr>
        <w:t xml:space="preserve">3</w:t>
      </w:r>
      <w:r>
        <w:t xml:space="preserve">;</w:t>
      </w:r>
    </w:p>
    <w:p>
      <w:pPr>
        <w:pStyle w:val="BodyText"/>
      </w:pPr>
      <w:r>
        <w:t xml:space="preserve">- относительная погрешность измерения, %</w:t>
      </w:r>
    </w:p>
    <w:p>
      <w:pPr>
        <w:pStyle w:val="BodyText"/>
      </w:pPr>
      <w:r>
        <w:t xml:space="preserve">По результатам выполненной государственной работы в части определения оксидов азота в атмосферном воздухе выдается экспертное заключение о соответствии (или несоответствии) измеренной концентрации загрязняющего вещества в отобранных пробах атмосферного воздуха требованиям указанной проектной документации.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Котлер, В. Р. Оксиды азота в дымовых газах котлов. — М.: Энергоатомиздат, 1987. — 144 с. Третьяков, А. Н., Перегудина, Е. В., Азарова, С. В. О влиянии на атмосферу предприятий теплоэнергетического комплекса // Молодой ученый. — 2015. — № 11. — С. 562–566.</w:t>
      </w:r>
    </w:p>
    <w:p>
      <w:pPr>
        <w:pStyle w:val="BodyText"/>
      </w:pPr>
      <w:r>
        <w:t xml:space="preserve">2. Демьянцева, Е. А. Механизм образования и негативное влияние выбросов, содержащих оксиды азота / Е. А. Демьянцева, Е. А. Шваб, Е. О. Реховская. — Текст: непосредственный // Молодой ученый. — 2017. — № 2 (136). — С. 231-234.</w:t>
      </w:r>
    </w:p>
    <w:p>
      <w:pPr>
        <w:pStyle w:val="BodyText"/>
      </w:pPr>
      <w:r>
        <w:t xml:space="preserve">3. ФР.1.31.2015.19877 (РД 52.04.792-2014) «Массовая концентрация оксида и диоксида азота в пробах атмосферного воздуха. Методика измерений фотометрическим методом с использованием сульфаниловой кислоты и I-нафтиламина».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 Инженер лаборатории Лаборатории санитарно-эпидемиологического и</w:t>
      </w:r>
      <w:r>
        <w:br/>
      </w:r>
    </w:p>
    <w:p>
      <w:pPr>
        <w:pStyle w:val="BodyText"/>
      </w:pPr>
      <w:r>
        <w:rPr>
          <w:iCs/>
          <w:i/>
        </w:rPr>
        <w:t xml:space="preserve">радиационного контроля ГБУ "ЦЭИИС" О.Н. Миронова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http://ceiis.mos.ru/presscenter/nauchno-publitsisticheskie-stati/detail/11854686.html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85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85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2025-04-10T00:18:02Z</dcterms:created>
  <dcterms:modified xsi:type="dcterms:W3CDTF">2025-04-10T00:18:02Z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