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азотосодержащие-вещества-в-питьевой-воде"/>
    <w:p>
      <w:pPr>
        <w:pStyle w:val="Heading3"/>
      </w:pPr>
      <w:r>
        <w:t xml:space="preserve">Азотосодержащие вещества в питьевой воде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t xml:space="preserve">Практически каждый человек знает о том, что нитраты (</w:t>
      </w:r>
      <w:hyperlink r:id="rId20">
        <w:r>
          <w:rPr>
            <w:rStyle w:val="Hyperlink"/>
          </w:rPr>
          <w:t xml:space="preserve">соли</w:t>
        </w:r>
      </w:hyperlink>
      <w:r>
        <w:t xml:space="preserve"> </w:t>
      </w:r>
      <w:hyperlink r:id="rId21">
        <w:r>
          <w:rPr>
            <w:rStyle w:val="Hyperlink"/>
          </w:rPr>
          <w:t xml:space="preserve">азотной кислоты</w:t>
        </w:r>
      </w:hyperlink>
      <w:r>
        <w:t xml:space="preserve">, содержащие однозарядный</w:t>
      </w:r>
      <w:r>
        <w:t xml:space="preserve"> </w:t>
      </w:r>
      <w:hyperlink r:id="rId22">
        <w:r>
          <w:rPr>
            <w:rStyle w:val="Hyperlink"/>
          </w:rPr>
          <w:t xml:space="preserve">анион</w:t>
        </w:r>
      </w:hyperlink>
      <w:r>
        <w:t xml:space="preserve"> </w:t>
      </w:r>
      <w:hyperlink r:id="rId23">
        <w:r>
          <w:rPr>
            <w:rStyle w:val="Hyperlink"/>
          </w:rPr>
          <w:t xml:space="preserve">N</w:t>
        </w:r>
      </w:hyperlink>
      <w:hyperlink r:id="rId24">
        <w:r>
          <w:rPr>
            <w:rStyle w:val="Hyperlink"/>
          </w:rPr>
          <w:t xml:space="preserve">O</w:t>
        </w:r>
      </w:hyperlink>
      <w:r>
        <w:rPr>
          <w:vertAlign w:val="superscript"/>
        </w:rPr>
        <w:t xml:space="preserve">3−</w:t>
      </w:r>
      <w:r>
        <w:t xml:space="preserve">) в воде вредны, так как оказывают негативное влияние на организм человека. Избыточное содержание соединений азота представляет опасность прежде всего для здоровья детей, а также пожилых и ослабленных людей. В организм человека нитраты и нитриты попадают вместе с растительной пищей, мясом и, конечно, с питьевой водой.</w:t>
      </w:r>
    </w:p>
    <w:p>
      <w:pPr>
        <w:pStyle w:val="BodyText"/>
      </w:pPr>
      <w:r>
        <w:t xml:space="preserve">Но в чем же опасность повышенного содержания азотосодержащих веществ в воде для человека?</w:t>
      </w:r>
    </w:p>
    <w:p>
      <w:pPr>
        <w:pStyle w:val="BodyText"/>
      </w:pPr>
      <w:r>
        <w:t xml:space="preserve">Вред здоровью наносят не столько сами нитраты, а нитриты (</w:t>
      </w:r>
      <w:hyperlink r:id="rId20">
        <w:r>
          <w:rPr>
            <w:rStyle w:val="Hyperlink"/>
          </w:rPr>
          <w:t xml:space="preserve">соли</w:t>
        </w:r>
      </w:hyperlink>
      <w:r>
        <w:t xml:space="preserve"> </w:t>
      </w:r>
      <w:hyperlink r:id="rId25">
        <w:r>
          <w:rPr>
            <w:rStyle w:val="Hyperlink"/>
          </w:rPr>
          <w:t xml:space="preserve">азотистой кислоты</w:t>
        </w:r>
      </w:hyperlink>
      <w:r>
        <w:t xml:space="preserve"> </w:t>
      </w:r>
      <w:r>
        <w:t xml:space="preserve">HNO</w:t>
      </w:r>
      <w:r>
        <w:rPr>
          <w:vertAlign w:val="subscript"/>
        </w:rPr>
        <w:t xml:space="preserve">2</w:t>
      </w:r>
      <w:r>
        <w:t xml:space="preserve"> </w:t>
      </w:r>
      <w:r>
        <w:t xml:space="preserve">), в которые восстанавливаются нитраты, попадая в организм человека. При попадании в кровь, нитриты окисляют гемоглобин и блокируют его способность переносить кислород, возникает кислородное голодание – метгемоглобинемия.</w:t>
      </w:r>
    </w:p>
    <w:p>
      <w:pPr>
        <w:pStyle w:val="BodyText"/>
      </w:pPr>
      <w:r>
        <w:t xml:space="preserve">По наличию азотсодержащих соединений судят о времени ее загрязнения. Отсутствие нитритов и наличие в воде аммиака говорят о свежем загрязнении. Присутствие данных веществ говорит о том, что с момента загрязнения прошло уже некоторое время. Если в воде нет аммиака, но есть нитриты, особенно нитраты, то это говорит о том, что загрязнение воды произошло уже давно и вода за это время самоочистилась. Пригодной для питья считается та вода, в которой содержатся только следы нитритов и аммиака. [1]</w:t>
      </w:r>
    </w:p>
    <w:p>
      <w:pPr>
        <w:pStyle w:val="BodyText"/>
      </w:pPr>
      <w:r>
        <w:t xml:space="preserve">Допустимое содержание в питьевой воде азотосодержащих веществ регламентирует СанПиН 2.1.3685-21</w:t>
      </w:r>
      <w:r>
        <w:t xml:space="preserve"> </w:t>
      </w:r>
      <w:bookmarkStart w:id="26" w:name="no3"/>
      <w:r>
        <w:t xml:space="preserve">"Гигиенические нормативы и требования к обеспечению безопасности и (или) безвредности для человека факторов среды обитания". III. Нормативы качества и безопасности воды</w:t>
      </w:r>
      <w:bookmarkEnd w:id="26"/>
    </w:p>
    <w:p>
      <w:pPr>
        <w:pStyle w:val="BodyText"/>
      </w:pPr>
      <w:r>
        <w:t xml:space="preserve">Согласно указанному документу, санитарная норма содержания нитратов в питьевой воде (ПДК) - не более 45 мг/дм3, они относятся к 3-му классу опасности (опасные).</w:t>
      </w:r>
    </w:p>
    <w:p>
      <w:pPr>
        <w:pStyle w:val="BodyText"/>
      </w:pPr>
      <w:r>
        <w:t xml:space="preserve">Нитриты значительно опаснее нитратов, поэтому их допустимое содержание в воде имеет гораздо более низкий порог - ПДК нитритов 3,0 мг/дм3, они относятся ко второму классу опасности (высокоопасные).</w:t>
      </w:r>
    </w:p>
    <w:p>
      <w:pPr>
        <w:pStyle w:val="BodyText"/>
      </w:pPr>
      <w:r>
        <w:t xml:space="preserve">Аммиак/аммоний-ион (NH3/NH4+) - 2,0 мг/дм3 (величина для воды питьевой системы централизованного водоснабжения) относится к 4 классу опасности. [2]</w:t>
      </w:r>
    </w:p>
    <w:p>
      <w:pPr>
        <w:pStyle w:val="BodyText"/>
      </w:pPr>
      <w:r>
        <w:t xml:space="preserve">Сотрудники лаборатории санитарно-эпидемиологического и радиационного контроля ГБУ «Центр экспертиз, испытаний и исследований в строительстве» осуществляют химический анализ проб питьевой воды на количественное содержание азотосодержащих веществ по ГОСТ 33045-2014 Вода. Методы определения азотсодержащих веществ (с Поправками).</w:t>
      </w:r>
    </w:p>
    <w:p>
      <w:pPr>
        <w:pStyle w:val="BodyText"/>
      </w:pPr>
      <w:r>
        <w:t xml:space="preserve">Определения содержания нитритов проводится фотометрическим методом на длине волны 520 нм с использованием сульфаниловой кислоты при массовой концентрации от 0,002 до 0,3 мг/дм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без разбавления пробы. При необходимости определения более высоких концентраций пробу разбавляют, но не более чем в 100 раз.</w:t>
      </w:r>
    </w:p>
    <w:p>
      <w:pPr>
        <w:pStyle w:val="BodyText"/>
      </w:pPr>
      <w:r>
        <w:t xml:space="preserve">Определение содержания нитратов проводится фотометрическим методом на длине волны 400±20 нм с использованием салициловокислого натрия при массовой концентрации от 0,1 до 2,0 мг/дм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без разбавления пробы. При необходимости определения более высоких концентраций пробу разбавляют, но не более чем в 100 раз.</w:t>
      </w:r>
    </w:p>
    <w:p>
      <w:pPr>
        <w:pStyle w:val="BodyText"/>
      </w:pPr>
      <w:r>
        <w:t xml:space="preserve">Определение содержания аммиака и ионов аммония (суммарно) с использованием реактива Несслера (метод А) проводится фотометрическим методом на длине волны от 400 до 425нм от 0,1 до 3,0 мг/дм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без разбавления пробы. При необходимости определения более высоких концентраций пробу разбавляют, но не более чем в 100 раз. [3]</w:t>
      </w:r>
    </w:p>
    <w:p>
      <w:pPr>
        <w:pStyle w:val="BodyText"/>
      </w:pPr>
      <w:r>
        <w:t xml:space="preserve">Для реализации данных методик в нашей лаборатории применятся спектрофотометр Shimadzu UV-1800 со спектральным диапазоном измерений от 190 до 1100 нм. Для проведения измерений производится построение градировочных графиков по стандартным растворам с известной концентрацией измеряемых компонентов. Аналитический сигнал от этих растворов имеет строго линейную зависимость от концентрации и все измерения должны укладываться на прямую линию с коэффициентом корреляции не более 0,995, что будет свидетельствовать о достоверном построении градировочного графика. Он регулярно обновляется для поддержания точности анализа на должном уровне.</w:t>
      </w:r>
      <w:r>
        <w:br/>
      </w:r>
    </w:p>
    <w:p>
      <w:pPr>
        <w:pStyle w:val="BodyText"/>
      </w:pPr>
      <w:r>
        <w:drawing>
          <wp:inline>
            <wp:extent cx="5313145" cy="319558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2e/y23rwvie7fksehpxcofkinxaoe9hl0lz/1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145" cy="3195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ГБУ «ЦЭИИС» контролируют качество питьевой воды с целью оценки влияния разводящей сети на состав воды перед вводом дома в эксплуатацию. Выполненные в 2023 году анализы воды, в количестве 28 проб, отобранных на объектах строительства, не превышали ПДК (предельно допустимых концентраций), согласно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>
      <w:pPr>
        <w:pStyle w:val="BodyText"/>
      </w:pPr>
      <w:r>
        <w:rPr>
          <w:bCs/>
          <w:b/>
        </w:rPr>
        <w:t xml:space="preserve">Список использованной литературы</w:t>
      </w:r>
    </w:p>
    <w:p>
      <w:pPr>
        <w:pStyle w:val="BodyText"/>
      </w:pPr>
      <w:r>
        <w:t xml:space="preserve">[1] Информация с сайта</w:t>
      </w:r>
      <w:r>
        <w:t xml:space="preserve"> </w:t>
      </w:r>
      <w:hyperlink r:id="rId30">
        <w:r>
          <w:rPr>
            <w:rStyle w:val="Hyperlink"/>
          </w:rPr>
          <w:t xml:space="preserve">https://studfile.net</w:t>
        </w:r>
      </w:hyperlink>
      <w:r>
        <w:t xml:space="preserve"> </w:t>
      </w:r>
      <w:r>
        <w:t xml:space="preserve">Статья Загрязнение воды n-содержащими органическими веществами. Гигиеническое значение рн воды, амиака, нитратов, нитритов, хлоридов, окисляемости,</w:t>
      </w:r>
    </w:p>
    <w:p>
      <w:pPr>
        <w:pStyle w:val="BodyText"/>
      </w:pPr>
      <w:r>
        <w:t xml:space="preserve">[2] СанПиН 1.2.3685 – 21 «Гигиенические нормативы и требования к обеспечению безопасности и (или) безвредности для человека факторов среды обитания»,</w:t>
      </w:r>
    </w:p>
    <w:p>
      <w:pPr>
        <w:pStyle w:val="BodyText"/>
      </w:pPr>
      <w:r>
        <w:t xml:space="preserve">[3] ГОСТ 33045-2014 Вода. Методы определения азотсодержащих веществ (с Поправками).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подготовила:</w:t>
      </w:r>
    </w:p>
    <w:p>
      <w:pPr>
        <w:pStyle w:val="BodyText"/>
      </w:pPr>
      <w:r>
        <w:rPr>
          <w:iCs/>
          <w:i/>
        </w:rPr>
        <w:t xml:space="preserve">Ведущий инженер Лаборатории санитарно-эпидемиологического и</w:t>
      </w:r>
    </w:p>
    <w:p>
      <w:pPr>
        <w:pStyle w:val="BodyText"/>
      </w:pPr>
      <w:r>
        <w:rPr>
          <w:iCs/>
          <w:i/>
        </w:rPr>
        <w:t xml:space="preserve"> радиационного контроля ГБУ "ЦЭИИС" М.М. Вахрина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http://ceiis.mos.ru/presscenter/nauchno-publitsisticheskie-stati/detail/11685109.html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ГБУ города Москвы «ЦЭИИС»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png" /><Relationship Type="http://schemas.openxmlformats.org/officeDocument/2006/relationships/hyperlink" Id="rId32" Target="http://ceiis.mos.ru" TargetMode="External" /><Relationship Type="http://schemas.openxmlformats.org/officeDocument/2006/relationships/hyperlink" Id="rId31" Target="http://ceiis.mos.ru/presscenter/nauchno-publitsisticheskie-stati/detail/11685109.html" TargetMode="External" /><Relationship Type="http://schemas.openxmlformats.org/officeDocument/2006/relationships/hyperlink" Id="rId23" Target="https://ru.wikipedia.org/wiki/%D0%90%D0%B7%D0%BE%D1%82" TargetMode="External" /><Relationship Type="http://schemas.openxmlformats.org/officeDocument/2006/relationships/hyperlink" Id="rId25" Target="https://ru.wikipedia.org/wiki/%D0%90%D0%B7%D0%BE%D1%82%D0%B8%D1%81%D1%82%D0%B0%D1%8F_%D0%BA%D0%B8%D1%81%D0%BB%D0%BE%D1%82%D0%B0" TargetMode="External" /><Relationship Type="http://schemas.openxmlformats.org/officeDocument/2006/relationships/hyperlink" Id="rId21" Target="https://ru.wikipedia.org/wiki/%D0%90%D0%B7%D0%BE%D1%82%D0%BD%D0%B0%D1%8F_%D0%BA%D0%B8%D1%81%D0%BB%D0%BE%D1%82%D0%B0" TargetMode="External" /><Relationship Type="http://schemas.openxmlformats.org/officeDocument/2006/relationships/hyperlink" Id="rId22" Target="https://ru.wikipedia.org/wiki/%D0%90%D0%BD%D0%B8%D0%BE%D0%BD" TargetMode="External" /><Relationship Type="http://schemas.openxmlformats.org/officeDocument/2006/relationships/hyperlink" Id="rId24" Target="https://ru.wikipedia.org/wiki/%D0%9A%D0%B8%D1%81%D0%BB%D0%BE%D1%80%D0%BE%D0%B4" TargetMode="External" /><Relationship Type="http://schemas.openxmlformats.org/officeDocument/2006/relationships/hyperlink" Id="rId20" Target="https://ru.wikipedia.org/wiki/%D0%A1%D0%BE%D0%BB%D0%B8" TargetMode="External" /><Relationship Type="http://schemas.openxmlformats.org/officeDocument/2006/relationships/hyperlink" Id="rId30" Target="https://studfile.n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ceiis.mos.ru" TargetMode="External" /><Relationship Type="http://schemas.openxmlformats.org/officeDocument/2006/relationships/hyperlink" Id="rId31" Target="http://ceiis.mos.ru/presscenter/nauchno-publitsisticheskie-stati/detail/11685109.html" TargetMode="External" /><Relationship Type="http://schemas.openxmlformats.org/officeDocument/2006/relationships/hyperlink" Id="rId23" Target="https://ru.wikipedia.org/wiki/%D0%90%D0%B7%D0%BE%D1%82" TargetMode="External" /><Relationship Type="http://schemas.openxmlformats.org/officeDocument/2006/relationships/hyperlink" Id="rId25" Target="https://ru.wikipedia.org/wiki/%D0%90%D0%B7%D0%BE%D1%82%D0%B8%D1%81%D1%82%D0%B0%D1%8F_%D0%BA%D0%B8%D1%81%D0%BB%D0%BE%D1%82%D0%B0" TargetMode="External" /><Relationship Type="http://schemas.openxmlformats.org/officeDocument/2006/relationships/hyperlink" Id="rId21" Target="https://ru.wikipedia.org/wiki/%D0%90%D0%B7%D0%BE%D1%82%D0%BD%D0%B0%D1%8F_%D0%BA%D0%B8%D1%81%D0%BB%D0%BE%D1%82%D0%B0" TargetMode="External" /><Relationship Type="http://schemas.openxmlformats.org/officeDocument/2006/relationships/hyperlink" Id="rId22" Target="https://ru.wikipedia.org/wiki/%D0%90%D0%BD%D0%B8%D0%BE%D0%BD" TargetMode="External" /><Relationship Type="http://schemas.openxmlformats.org/officeDocument/2006/relationships/hyperlink" Id="rId24" Target="https://ru.wikipedia.org/wiki/%D0%9A%D0%B8%D1%81%D0%BB%D0%BE%D1%80%D0%BE%D0%B4" TargetMode="External" /><Relationship Type="http://schemas.openxmlformats.org/officeDocument/2006/relationships/hyperlink" Id="rId20" Target="https://ru.wikipedia.org/wiki/%D0%A1%D0%BE%D0%BB%D0%B8" TargetMode="External" /><Relationship Type="http://schemas.openxmlformats.org/officeDocument/2006/relationships/hyperlink" Id="rId30" Target="https://studfile.n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2025-08-03T00:06:59Z</dcterms:created>
  <dcterms:modified xsi:type="dcterms:W3CDTF">2025-08-03T00:06:59Z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