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2.png" ContentType="image/png"/>
  <Override PartName="/word/media/rId23.png" ContentType="image/png"/>
  <Override PartName="/word/media/rId29.png" ContentType="image/png"/>
  <Override PartName="/word/media/rId26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1c6733f2fd3dbea593c7a7e8bcbcfd0a87db78d"/>
    <w:p>
      <w:pPr>
        <w:pStyle w:val="Heading3"/>
      </w:pPr>
      <w:r>
        <w:t xml:space="preserve">Возможность проведения испытаний керамической плитки по ГОСТ 7025-91 для определения водопоглощения</w:t>
      </w:r>
    </w:p>
    <w:p>
      <w:pPr>
        <w:pStyle w:val="FirstParagraph"/>
      </w:pPr>
      <w:r>
        <w:t xml:space="preserve">21.04.2023</w:t>
      </w:r>
    </w:p>
    <w:p>
      <w:pPr>
        <w:pStyle w:val="BodyText"/>
      </w:pPr>
      <w:r>
        <w:t xml:space="preserve">В статье представлены результаты исследования насыщением водой керамических плиток, предназначенных для отделки внутренних и наружных стен и полов методом кипячения и вакуумным методом.</w:t>
      </w:r>
    </w:p>
    <w:p>
      <w:pPr>
        <w:pStyle w:val="BodyText"/>
      </w:pPr>
      <w:r>
        <w:t xml:space="preserve">Водопоглощение это один из необходимых показателей для классификации керамических плиток, как пластического формования, так и полусухого прессования. Плитки подразделяются на три группы: с низким водопоглощением не более 3%, со средним – не более 10% и с высоким – более 10%.</w:t>
      </w:r>
    </w:p>
    <w:p>
      <w:pPr>
        <w:pStyle w:val="BodyText"/>
      </w:pPr>
      <w:r>
        <w:t xml:space="preserve">Как известно водопоглощение это параметр, измеряющий пористость керамической плитки, чем выше этот параметр, тем более пористая плитка и менее прочная. Низкий процент указывает на то, что структура материала более плотная и физико-механические характеристики, такие как предел прочности при изгибе, истираемость и морозостойкость значительно выше.</w:t>
      </w:r>
    </w:p>
    <w:p>
      <w:pPr>
        <w:pStyle w:val="BodyText"/>
      </w:pPr>
      <w:r>
        <w:t xml:space="preserve">Для насыщения образцов водой применяют два метода: кипячение и водонасыщение в вакууме. Метод кипячения применяют для определения показателя водопоглощения, используемого для классификации керамических плиток, а также для спецификации изделий. Водонасыщение в вакууме применяют в качестве экспресс-метода определения водопоглощения. В случае арбитражных споров насыщение водой следует проводить методом кипячения.</w:t>
      </w:r>
    </w:p>
    <w:p>
      <w:pPr>
        <w:pStyle w:val="BodyText"/>
      </w:pPr>
      <w:r>
        <w:rPr>
          <w:iCs/>
          <w:i/>
          <w:bCs/>
          <w:b/>
        </w:rPr>
        <w:t xml:space="preserve">Метод кипячения</w:t>
      </w:r>
    </w:p>
    <w:p>
      <w:pPr>
        <w:pStyle w:val="BodyText"/>
      </w:pPr>
      <w:r>
        <w:t xml:space="preserve">Предварительно высушенные при температуре (110±5) °С до постоянной массы образцы керамических плиток помещаем в ёмкость вертикально, таким образом, чтобы они не касались друг друга, и были окружены слоем воды около пяти сантиметров. Уровень этого слоя поддерживаем на протяжении всего испытания. Воду с образцами доводим до кипения и поддерживаем процесс кипения на протяжении одного часа. Затем нагревание прекращаем, и плитки остывают до комнатной температуры в течении около 4 часов. Затем мягкой влажной тканью подсушиваем поверхности образцов. Также профильные поверхности тампонируем этой тканью. Сразу же после такой обработки каждый образец взвешиваем с точностью 0,02 г., если масса плитки от 50 до 100 г. и с точностью 0,05 г. если масса свыше 100 до 500 г. включительно, таким же образом, как и в сухом состоянии.</w:t>
      </w:r>
    </w:p>
    <w:p>
      <w:pPr>
        <w:pStyle w:val="BodyText"/>
      </w:pPr>
      <w:r>
        <w:rPr>
          <w:iCs/>
          <w:i/>
          <w:bCs/>
          <w:b/>
        </w:rPr>
        <w:t xml:space="preserve">Вакуумный метод</w:t>
      </w:r>
    </w:p>
    <w:p>
      <w:pPr>
        <w:pStyle w:val="BodyText"/>
      </w:pPr>
      <w:r>
        <w:t xml:space="preserve">Подготовленные образцы керамических плиток помещаем в рабочую камеру и заливаем водой так, чтобы слой воды над образцами был не менее 5 см., чтобы они не касались друг друга. Затем давление в камере понижают, создавая разряжение в (10±1) кПа и поддерживаем его в течение получаса. Затем камеру сообщаем с атмосферой, а плитки в течение последующих пятнадцати минут выдерживаем под водой. Потом мягкой влажной тканью подсушиваем поверхности образцов. Также профильные поверхности тампонируем этой тканью и сразу же взвешивают таким же образом, как и в сухом состоянии и с точностью описанной в предыдущем методе.</w:t>
      </w:r>
    </w:p>
    <w:p>
      <w:pPr>
        <w:pStyle w:val="BodyText"/>
      </w:pPr>
      <w:r>
        <w:t xml:space="preserve">Отношение масс керамических плиток в сухом и насыщенном водой состоянии позволяет рассчитать водопоглощение по формуле:</w:t>
      </w:r>
    </w:p>
    <w:p>
      <w:pPr>
        <w:pStyle w:val="BodyText"/>
      </w:pPr>
      <w:r>
        <w:t xml:space="preserve">Водопоглощение (Е): E</w:t>
      </w:r>
      <w:r>
        <w:rPr>
          <w:vertAlign w:val="subscript"/>
        </w:rPr>
        <w:t xml:space="preserve">(b/v)</w:t>
      </w:r>
      <w:r>
        <w:t xml:space="preserve"> </w:t>
      </w:r>
      <w:r>
        <w:t xml:space="preserve">= 100 × (m</w:t>
      </w:r>
      <w:r>
        <w:rPr>
          <w:vertAlign w:val="subscript"/>
        </w:rPr>
        <w:t xml:space="preserve">2(b/v)</w:t>
      </w:r>
      <w:r>
        <w:t xml:space="preserve"> </w:t>
      </w:r>
      <w:r>
        <w:t xml:space="preserve">– m</w:t>
      </w:r>
      <w:r>
        <w:rPr>
          <w:vertAlign w:val="subscript"/>
        </w:rPr>
        <w:t xml:space="preserve">1</w:t>
      </w:r>
      <w:r>
        <w:t xml:space="preserve">) / m</w:t>
      </w:r>
      <w:r>
        <w:rPr>
          <w:vertAlign w:val="subscript"/>
        </w:rPr>
        <w:t xml:space="preserve">1</w:t>
      </w:r>
    </w:p>
    <w:p>
      <w:pPr>
        <w:pStyle w:val="BodyText"/>
      </w:pPr>
      <w:r>
        <w:t xml:space="preserve">где b / v – метод проведения испытания: кипячение или насыщение в вакууме соответственно;</w:t>
      </w:r>
    </w:p>
    <w:p>
      <w:pPr>
        <w:pStyle w:val="BodyText"/>
      </w:pPr>
      <w:r>
        <w:t xml:space="preserve">m1 - масса сухой керамической плитки;</w:t>
      </w:r>
    </w:p>
    <w:p>
      <w:pPr>
        <w:pStyle w:val="BodyText"/>
      </w:pPr>
      <w:r>
        <w:t xml:space="preserve">m2 - масса насыщенной водой керамической плитки.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ba8/eu430b536rcmbu40d7k8eew3hq9fzyoz/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Испытано 11 видов различных плиток по классификации водопоглощения. Каждого конкретного вида было испытано по 30 образцов: 15 – кипячением и 15 вакуумным методом.</w:t>
      </w:r>
    </w:p>
    <w:p>
      <w:pPr>
        <w:pStyle w:val="BodyText"/>
      </w:pPr>
      <w:r>
        <w:t xml:space="preserve">За водопоглощение плиток принимаем среднеарифметическое значение результатов испытаний всех образцов.</w:t>
      </w:r>
    </w:p>
    <w:p>
      <w:pPr>
        <w:pStyle w:val="BodyText"/>
      </w:pPr>
      <w:r>
        <w:t xml:space="preserve">Результаты испытаний образцов плиток керамических различными методами приведены в Таблице 1.</w:t>
      </w:r>
    </w:p>
    <w:p>
      <w:pPr>
        <w:pStyle w:val="BodyText"/>
      </w:pPr>
      <w:r>
        <w:drawing>
          <wp:inline>
            <wp:extent cx="3850105" cy="702644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34f/h56lbymlw24iwxabqc574uo8gu42cajf/1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0105" cy="70264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3565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963/6c5sq7skmj1a0q711xsyep1xr8p0bzur/13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56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57081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7a3/f0lt3x2t8zdk58mazx9bb0jswgxxm6za/14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570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378585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20a/i60r1p0pvmhutex6mvm20ffw637tp0l1/15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78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Вывод</w:t>
      </w:r>
    </w:p>
    <w:p>
      <w:pPr>
        <w:pStyle w:val="BodyText"/>
      </w:pPr>
      <w:r>
        <w:t xml:space="preserve">Высокое значение коэффициента корреляции подтверждает возможность надежного прогнозирования результатов, полученных по экспресс методу.</w:t>
      </w:r>
    </w:p>
    <w:p>
      <w:pPr>
        <w:pStyle w:val="BodyText"/>
      </w:pPr>
      <w:r>
        <w:rPr>
          <w:bCs/>
          <w:b/>
        </w:rPr>
        <w:t xml:space="preserve">Список использованной литературы</w:t>
      </w:r>
    </w:p>
    <w:p>
      <w:pPr>
        <w:pStyle w:val="BodyText"/>
      </w:pPr>
      <w:r>
        <w:t xml:space="preserve">1. ГОСТ 13996-2016 «Плитки керамические. Общие технические условия»</w:t>
      </w:r>
    </w:p>
    <w:p>
      <w:pPr>
        <w:pStyle w:val="BodyText"/>
      </w:pPr>
      <w:r>
        <w:t xml:space="preserve">2. ГОСТ 27180-2019 «Плитки керамические. Методы испытаний»</w:t>
      </w:r>
    </w:p>
    <w:p>
      <w:pPr>
        <w:pStyle w:val="BodyText"/>
      </w:pPr>
      <w:r>
        <w:t xml:space="preserve">3. ГОСТ 7025-91 «Кирпич и камни керамические и силикатные. Методы определения водопоглощения, плотности и контроля морозостойкости»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Статью подготовили:</w:t>
      </w:r>
    </w:p>
    <w:p>
      <w:pPr>
        <w:pStyle w:val="BodyText"/>
      </w:pPr>
      <w:r>
        <w:rPr>
          <w:iCs/>
          <w:i/>
        </w:rPr>
        <w:t xml:space="preserve">Ведущий инженер Лаборатории испытаний строительных материалов и</w:t>
      </w:r>
    </w:p>
    <w:p>
      <w:pPr>
        <w:pStyle w:val="BodyText"/>
      </w:pPr>
      <w:r>
        <w:rPr>
          <w:iCs/>
          <w:i/>
        </w:rPr>
        <w:t xml:space="preserve">конструкций ГБУ "ЦЭИИС" Горохова Т.В.,</w:t>
      </w:r>
    </w:p>
    <w:p>
      <w:pPr>
        <w:pStyle w:val="BodyText"/>
      </w:pPr>
      <w:r>
        <w:rPr>
          <w:iCs/>
          <w:i/>
        </w:rPr>
        <w:t xml:space="preserve">Лаборант Лаборатории испытаний строительных материалов и</w:t>
      </w:r>
    </w:p>
    <w:p>
      <w:pPr>
        <w:pStyle w:val="BodyText"/>
      </w:pPr>
      <w:r>
        <w:rPr>
          <w:iCs/>
          <w:i/>
        </w:rPr>
        <w:t xml:space="preserve">конструкций ГБУ "ЦЭИИС" Лисецкий Р.М.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http://ceiis.mos.ru/presscenter/nauchno-publitsisticheskie-stati/detail/11545140.html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ГБУ города Москвы «ЦЭИИС»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2" Target="media/rId32.png" /><Relationship Type="http://schemas.openxmlformats.org/officeDocument/2006/relationships/image" Id="rId23" Target="media/rId23.png" /><Relationship Type="http://schemas.openxmlformats.org/officeDocument/2006/relationships/image" Id="rId29" Target="media/rId29.png" /><Relationship Type="http://schemas.openxmlformats.org/officeDocument/2006/relationships/image" Id="rId26" Target="media/rId26.png" /><Relationship Type="http://schemas.openxmlformats.org/officeDocument/2006/relationships/image" Id="rId20" Target="media/rId20.png" /><Relationship Type="http://schemas.openxmlformats.org/officeDocument/2006/relationships/hyperlink" Id="rId36" Target="http://ceiis.mos.ru" TargetMode="External" /><Relationship Type="http://schemas.openxmlformats.org/officeDocument/2006/relationships/hyperlink" Id="rId35" Target="http://ceiis.mos.ru/presscenter/nauchno-publitsisticheskie-stati/detail/115451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ceiis.mos.ru" TargetMode="External" /><Relationship Type="http://schemas.openxmlformats.org/officeDocument/2006/relationships/hyperlink" Id="rId35" Target="http://ceiis.mos.ru/presscenter/nauchno-publitsisticheskie-stati/detail/115451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2025-04-10T00:17:01Z</dcterms:created>
  <dcterms:modified xsi:type="dcterms:W3CDTF">2025-04-10T00:17:01Z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