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23.png" ContentType="image/png"/>
  <Override PartName="/word/media/rId20.jpg" ContentType="image/jpeg"/>
  <Override PartName="/word/media/rId32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3fcfcdfd0bb4f603cc342fd4e083af11fd36992"/>
    <w:p>
      <w:pPr>
        <w:pStyle w:val="Heading3"/>
      </w:pPr>
      <w:r>
        <w:t xml:space="preserve">Теплопроводность минераловатных теплоизоляционных плит в условиях эксплуатации конструкций А и Б</w:t>
      </w:r>
    </w:p>
    <w:p>
      <w:pPr>
        <w:pStyle w:val="FirstParagraph"/>
      </w:pPr>
      <w:r>
        <w:t xml:space="preserve">21.03.2023</w:t>
      </w:r>
    </w:p>
    <w:p>
      <w:pPr>
        <w:pStyle w:val="BodyText"/>
      </w:pPr>
      <w:r>
        <w:t xml:space="preserve">В последние годы большое внимание уделяется энергоэффективности в строительстве. Одним из способов решения проблем энергосбережения при эксплуатации зданий и сооружений является применение минераловатных плит в качестве утеплителя.</w:t>
      </w:r>
    </w:p>
    <w:p>
      <w:pPr>
        <w:pStyle w:val="BodyText"/>
      </w:pPr>
      <w:r>
        <w:t xml:space="preserve">Минераловатные теплоизоляционные плиты сегодня широко используются для утепления в жилом и промышленном строительстве – это самые безопасные, экологичные и эффективные тепло- и звукоизоляторы. Они применяются для утепления всех частей здания – перекрытий, межстропильных пространств, фасада, пола, подвала, крыши, чердака, изоляции водоснабжающего и отопительного, а также сантехнического оборудования и трубопроводов.</w:t>
      </w:r>
    </w:p>
    <w:p>
      <w:pPr>
        <w:pStyle w:val="BodyText"/>
      </w:pPr>
      <w:r>
        <w:t xml:space="preserve">Минераловатные теплоизоляционные плиты – это теплоизоляционный материал, который изготавливают из минеральной ваты и синтетического связующего. Утеплитель отличается устойчивостью к воздействию высоких температур, а если его произвели из натуральных горных пород, то он начнет плавиться только после двух часов воздействия температуры в тысячу градусов.</w:t>
      </w:r>
    </w:p>
    <w:p>
      <w:pPr>
        <w:pStyle w:val="BodyText"/>
      </w:pPr>
      <w:r>
        <w:t xml:space="preserve">Минераловатные плиты устойчивы к воздействию большинства химических агрессивных веществ, имеют высокий коэффициент паропроницаемости, что дает возможность свободно проникать водяному пару и сохраняет материал от образования влаги, которая может приводить к распространению плесени и различных вредителей. К достоинствам минераловатных плит можно отнести низкое влагопоглощение и высокие теплоизоляционные свойства.</w:t>
      </w:r>
    </w:p>
    <w:p>
      <w:pPr>
        <w:pStyle w:val="BodyText"/>
      </w:pPr>
      <w:r>
        <w:t xml:space="preserve">В процессе эксплуатации минераловатные плиты в конструкциях стеновых ограждений подвергаются сложному комплексу воздействий, в т.ч увлажнению. Увлажнение существенно влияет на величину коэффициента теплопроводности.</w:t>
      </w:r>
    </w:p>
    <w:p>
      <w:pPr>
        <w:pStyle w:val="BodyText"/>
      </w:pPr>
      <w:r>
        <w:t xml:space="preserve">При расчете необходимой толщины утеплителя используется величина коэффициента теплопроводности материала в сухом состоянии и при влажности материалов для условий эксплуатации конструкции А или Б.</w:t>
      </w:r>
    </w:p>
    <w:p>
      <w:pPr>
        <w:pStyle w:val="BodyText"/>
      </w:pPr>
      <w:r>
        <w:t xml:space="preserve">Теплопроводность материала в сухом состоянии определяется по ГОСТ 7076-99 [1].</w:t>
      </w:r>
    </w:p>
    <w:p>
      <w:pPr>
        <w:pStyle w:val="BodyText"/>
      </w:pPr>
      <w:r>
        <w:t xml:space="preserve">Для проведения такого рода испытания лаборатория испытаний строительных материалов и конструкций ГБУ «ЦЭИИС» оснащена прибором для определения теплопроводности «λ-Meter EP500e» (Рис. 1).</w:t>
      </w:r>
    </w:p>
    <w:p>
      <w:pPr>
        <w:pStyle w:val="BodyText"/>
      </w:pPr>
      <w:r>
        <w:t xml:space="preserve">Для испытания материалов на приборе «λ-Meter EP500e», из изделия вырезают образец размером (500×500) мм и толщиной не более 120 мм. Образец высушивают до постоянной массы и устанавливают в приборе. Определение теплопроводности проводят при средней температуре образца 10</w:t>
      </w:r>
      <w:r>
        <w:rPr>
          <w:vertAlign w:val="superscript"/>
        </w:rPr>
        <w:t xml:space="preserve">0</w:t>
      </w:r>
      <w:r>
        <w:t xml:space="preserve">С или 250</w:t>
      </w:r>
      <w:r>
        <w:rPr>
          <w:vertAlign w:val="superscript"/>
        </w:rPr>
        <w:t xml:space="preserve">0</w:t>
      </w:r>
      <w:r>
        <w:t xml:space="preserve">С.</w:t>
      </w:r>
    </w:p>
    <w:p>
      <w:pPr>
        <w:pStyle w:val="BodyText"/>
      </w:pPr>
      <w:r>
        <w:t xml:space="preserve">Сущность метода заключается в создании стационарного теплового потока, проходящего через плоский образец определенной толщины и направленного перпендикулярно к лицевым граням образца, измерении плотности этого потока, температуры противоположных лицевых граней и толщины образца.</w:t>
      </w:r>
    </w:p>
    <w:p>
      <w:pPr>
        <w:pStyle w:val="BodyText"/>
      </w:pPr>
      <w:r>
        <w:drawing>
          <wp:inline>
            <wp:extent cx="4243647" cy="38446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8e6/x0ctvl39ps6to30hb7mmb31zlis69nll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3647" cy="38446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Подготовленные образцы горизонтально установили на нижнюю плиту прибора и опустили верхнюю плиту. Направление теплового потока сверху вниз. Затем в рабочей программе прибора задали размеры образца, его массу, условия испытания и запустили процесс испытания образца. По графику зависимости эффективной теплопроводности от времени определили установление стационарного теплового режима и зафиксировали значение эффективной теплопроводности (Рис. 2).</w:t>
      </w:r>
    </w:p>
    <w:p>
      <w:pPr>
        <w:pStyle w:val="BodyText"/>
      </w:pPr>
      <w:r>
        <w:drawing>
          <wp:inline>
            <wp:extent cx="5334000" cy="354363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185/yxd137hjj6shbik5dtem1fy9v46qnaz4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36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определения теплопроводности материала для условий эксплуатации конструкции А или Б действует ГОСТ Р 54855-2011 [2].</w:t>
      </w:r>
    </w:p>
    <w:p>
      <w:pPr>
        <w:pStyle w:val="BodyText"/>
      </w:pPr>
      <w:r>
        <w:t xml:space="preserve">Методика определения расчетных значений теплофизических характеристик предполагает определение теплопроводности увлажненного материала.</w:t>
      </w:r>
    </w:p>
    <w:p>
      <w:pPr>
        <w:pStyle w:val="BodyText"/>
      </w:pPr>
      <w:r>
        <w:t xml:space="preserve">Для увлажнения образцов по вышеуказанной методике в лаборатории смонтирована установка (Рис. 3).</w:t>
      </w:r>
    </w:p>
    <w:p>
      <w:pPr>
        <w:pStyle w:val="BodyText"/>
      </w:pPr>
      <w:r>
        <w:drawing>
          <wp:inline>
            <wp:extent cx="3111414" cy="254681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0f5/0vpj13407ro87gmktahf8yto1ogyi9dh/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414" cy="25468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Увлажнение проводили на образцах размером (250×250) мм толщиной 25 мм из минераловатной плиты с плотностью 37 кг/м</w:t>
      </w:r>
      <w:r>
        <w:rPr>
          <w:vertAlign w:val="superscript"/>
        </w:rPr>
        <w:t xml:space="preserve">3</w:t>
      </w:r>
      <w:r>
        <w:t xml:space="preserve">.</w:t>
      </w:r>
    </w:p>
    <w:p>
      <w:pPr>
        <w:pStyle w:val="BodyText"/>
      </w:pPr>
      <w:r>
        <w:t xml:space="preserve">Следует отметить, что при проведении четырех циклов насыщения образца удалось достичь максимальной влажности равной 2,6%. При этом дальнейшее насыщение не дало результатов, т.е. влажность не увеличивалась.</w:t>
      </w:r>
    </w:p>
    <w:p>
      <w:pPr>
        <w:pStyle w:val="BodyText"/>
      </w:pPr>
      <w:r>
        <w:t xml:space="preserve">Определение теплопроводности проводили при средней температуре образца 25</w:t>
      </w:r>
      <w:r>
        <w:rPr>
          <w:vertAlign w:val="superscript"/>
        </w:rPr>
        <w:t xml:space="preserve">0</w:t>
      </w:r>
      <w:r>
        <w:t xml:space="preserve">С в соответствии с ГОСТ Р 54855-2011. Коэффициент теплопроводности рассчитывали для образцов с влажностью 1% при условиях эксплуатации А и 2% при условиях эксплуатации Б в соответствии с технической документацией на материал.</w:t>
      </w:r>
    </w:p>
    <w:p>
      <w:pPr>
        <w:pStyle w:val="BodyText"/>
      </w:pPr>
      <w:r>
        <w:t xml:space="preserve">Результаты испытаний и выполненных дальнейших расчетов представлены ниже в Таблице 1.</w:t>
      </w:r>
      <w:r>
        <w:br/>
      </w:r>
    </w:p>
    <w:p>
      <w:pPr>
        <w:pStyle w:val="BodyText"/>
      </w:pPr>
      <w:r>
        <w:drawing>
          <wp:inline>
            <wp:extent cx="5334000" cy="211898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ea6/ewmnentd5w0qcx3a8vpm1ophd5dt6s85/4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189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Согласно полученным результатам (Таблица 1) при испытании образцов с влажностью 1%, соответствующей условиям эксплуатации А, среднее значение коэффициента теплопроводности увеличилось на 0,30%, а образцов с влажностью 2%, соответствующей условиям эксплуатации Б соответственно на 0,59%, что входит в допустимую погрешность измерения прибора «λ-Meter EP500e». Таким образом, метод увлажнения образцов приведенный в ГОСТ Р 54855-2011 не оправдал себя и определение теплопроводности материалов в условиях эксплуатации конструкции А или Б становится проблематичным.</w:t>
      </w:r>
    </w:p>
    <w:p>
      <w:pPr>
        <w:pStyle w:val="BodyText"/>
      </w:pPr>
      <w:r>
        <w:t xml:space="preserve">Федеральным государственным бюджетным учреждением «Научно-исследовательский институт строительной физики Российской академии архитектуры и строительных наук» (НИИСФ РААСН) разработан ГОСТ Р 59985-2022 [3], который применяется с 01.05.2022.</w:t>
      </w:r>
    </w:p>
    <w:p>
      <w:pPr>
        <w:pStyle w:val="BodyText"/>
      </w:pPr>
      <w:r>
        <w:t xml:space="preserve">Настоящий стандарт полностью соответствует СП 50.13330.2012 [4] в части применения расчетных теплотехнических показателей строительных материалов при условиях эксплуатации конструкций А и Б. Методика стандарта позволяет при имеющихся данных по теплопроводности теплоизоляционного материала в сухом состоянии и значениях расчетной влажности материала при условиях эксплуатации конструкций А и Б установить расчетную теплопроводность.</w:t>
      </w:r>
    </w:p>
    <w:p>
      <w:pPr>
        <w:pStyle w:val="BodyText"/>
      </w:pPr>
      <w:r>
        <w:t xml:space="preserve">Методы, установленные в настоящем стандарте, распространяются на все строительные материалы и изделия заводского изготовления, которые используются в качестве тепловой изоляции ограждающих конструкций от температурных воздействий внешней среды, в т.ч. на минераловатные плиты.</w:t>
      </w:r>
    </w:p>
    <w:p>
      <w:pPr>
        <w:pStyle w:val="BodyText"/>
      </w:pPr>
      <w:r>
        <w:t xml:space="preserve">По ГОСТ 7076-99 определяют теплопроводность теплоизоляционного материала в сухом состоянии λ</w:t>
      </w:r>
      <w:r>
        <w:rPr>
          <w:vertAlign w:val="subscript"/>
        </w:rPr>
        <w:t xml:space="preserve">0</w:t>
      </w:r>
      <w:r>
        <w:t xml:space="preserve">.</w:t>
      </w:r>
    </w:p>
    <w:p>
      <w:pPr>
        <w:pStyle w:val="BodyText"/>
      </w:pPr>
      <w:r>
        <w:t xml:space="preserve">Затем вычисляют теплопроводность материала при эксплуатационных условиях λ</w:t>
      </w:r>
      <w:r>
        <w:rPr>
          <w:vertAlign w:val="subscript"/>
        </w:rPr>
        <w:t xml:space="preserve">э</w:t>
      </w:r>
      <w:r>
        <w:t xml:space="preserve"> </w:t>
      </w:r>
      <w:r>
        <w:t xml:space="preserve">по формуле:</w:t>
      </w:r>
    </w:p>
    <w:p>
      <w:pPr>
        <w:pStyle w:val="BodyText"/>
      </w:pPr>
      <w:r>
        <w:t xml:space="preserve">λ</w:t>
      </w:r>
      <w:r>
        <w:rPr>
          <w:vertAlign w:val="subscript"/>
        </w:rPr>
        <w:t xml:space="preserve">э</w:t>
      </w:r>
      <w:r>
        <w:t xml:space="preserve"> </w:t>
      </w:r>
      <w:r>
        <w:t xml:space="preserve">= λ</w:t>
      </w:r>
      <w:r>
        <w:rPr>
          <w:vertAlign w:val="subscript"/>
        </w:rPr>
        <w:t xml:space="preserve">0</w:t>
      </w:r>
      <w:r>
        <w:t xml:space="preserve">(1 + η ∙</w:t>
      </w:r>
      <w:r>
        <w:t xml:space="preserve"> </w:t>
      </w:r>
      <w:r>
        <w:rPr>
          <w:iCs/>
          <w:i/>
        </w:rPr>
        <w:t xml:space="preserve">w</w:t>
      </w:r>
      <w:r>
        <w:rPr>
          <w:vertAlign w:val="subscript"/>
        </w:rPr>
        <w:t xml:space="preserve">э</w:t>
      </w:r>
      <w:r>
        <w:t xml:space="preserve">),</w:t>
      </w:r>
    </w:p>
    <w:p>
      <w:pPr>
        <w:pStyle w:val="BodyText"/>
      </w:pPr>
      <w:r>
        <w:t xml:space="preserve">где η – коэффициент теплофизического качества;</w:t>
      </w:r>
    </w:p>
    <w:p>
      <w:pPr>
        <w:pStyle w:val="BodyText"/>
      </w:pPr>
      <w:r>
        <w:rPr>
          <w:iCs/>
          <w:i/>
        </w:rPr>
        <w:t xml:space="preserve">w</w:t>
      </w:r>
      <w:r>
        <w:rPr>
          <w:vertAlign w:val="subscript"/>
        </w:rPr>
        <w:t xml:space="preserve">э</w:t>
      </w:r>
      <w:r>
        <w:t xml:space="preserve"> </w:t>
      </w:r>
      <w:r>
        <w:t xml:space="preserve">– эксплуатационная влажность материала.</w:t>
      </w:r>
    </w:p>
    <w:p>
      <w:pPr>
        <w:pStyle w:val="BodyText"/>
      </w:pPr>
      <w:r>
        <w:t xml:space="preserve">Коэффициент теплофизического качества η определяют по ГОСТ Р 59985-2022, п.5.4, таблица 1. Для теплоизоляционных материалов, не приведенных в таб. 1, коэффициенты определяются по методике приложения А.</w:t>
      </w:r>
    </w:p>
    <w:p>
      <w:pPr>
        <w:pStyle w:val="BodyText"/>
      </w:pPr>
      <w:r>
        <w:t xml:space="preserve">Теплопроводность теплоизоляционных материалов и изделий, при условиях эксплуатации конструкции А или Б λ</w:t>
      </w:r>
      <w:r>
        <w:rPr>
          <w:vertAlign w:val="subscript"/>
        </w:rPr>
        <w:t xml:space="preserve">А</w:t>
      </w:r>
      <w:r>
        <w:t xml:space="preserve"> </w:t>
      </w:r>
      <w:r>
        <w:t xml:space="preserve">и λ</w:t>
      </w:r>
      <w:r>
        <w:rPr>
          <w:vertAlign w:val="subscript"/>
        </w:rPr>
        <w:t xml:space="preserve">Б</w:t>
      </w:r>
      <w:r>
        <w:t xml:space="preserve">, определяют, соответственно, по формулам:</w:t>
      </w:r>
    </w:p>
    <w:p>
      <w:pPr>
        <w:pStyle w:val="BodyText"/>
      </w:pPr>
      <w:r>
        <w:t xml:space="preserve">λ</w:t>
      </w:r>
      <w:r>
        <w:rPr>
          <w:vertAlign w:val="subscript"/>
        </w:rPr>
        <w:t xml:space="preserve">А</w:t>
      </w:r>
      <w:r>
        <w:t xml:space="preserve"> </w:t>
      </w:r>
      <w:r>
        <w:t xml:space="preserve">= λ</w:t>
      </w:r>
      <w:r>
        <w:rPr>
          <w:vertAlign w:val="subscript"/>
        </w:rPr>
        <w:t xml:space="preserve">0</w:t>
      </w:r>
      <w:r>
        <w:t xml:space="preserve">(1 + η ∙</w:t>
      </w:r>
      <w:r>
        <w:t xml:space="preserve"> </w:t>
      </w:r>
      <w:r>
        <w:rPr>
          <w:iCs/>
          <w:i/>
        </w:rPr>
        <w:t xml:space="preserve">w</w:t>
      </w:r>
      <w:r>
        <w:rPr>
          <w:vertAlign w:val="subscript"/>
        </w:rPr>
        <w:t xml:space="preserve">А</w:t>
      </w:r>
      <w:r>
        <w:t xml:space="preserve">),</w:t>
      </w:r>
    </w:p>
    <w:p>
      <w:pPr>
        <w:pStyle w:val="BodyText"/>
      </w:pPr>
      <w:r>
        <w:t xml:space="preserve">λ</w:t>
      </w:r>
      <w:r>
        <w:rPr>
          <w:vertAlign w:val="subscript"/>
        </w:rPr>
        <w:t xml:space="preserve">Б</w:t>
      </w:r>
      <w:r>
        <w:t xml:space="preserve"> </w:t>
      </w:r>
      <w:r>
        <w:t xml:space="preserve">= λ</w:t>
      </w:r>
      <w:r>
        <w:rPr>
          <w:vertAlign w:val="subscript"/>
        </w:rPr>
        <w:t xml:space="preserve">0</w:t>
      </w:r>
      <w:r>
        <w:t xml:space="preserve">(1 + η ∙</w:t>
      </w:r>
      <w:r>
        <w:t xml:space="preserve"> </w:t>
      </w:r>
      <w:r>
        <w:rPr>
          <w:iCs/>
          <w:i/>
        </w:rPr>
        <w:t xml:space="preserve">w</w:t>
      </w:r>
      <w:r>
        <w:rPr>
          <w:vertAlign w:val="subscript"/>
        </w:rPr>
        <w:t xml:space="preserve">Б</w:t>
      </w:r>
      <w:r>
        <w:t xml:space="preserve">),</w:t>
      </w:r>
    </w:p>
    <w:p>
      <w:pPr>
        <w:pStyle w:val="BodyText"/>
      </w:pPr>
      <w:r>
        <w:t xml:space="preserve">где</w:t>
      </w:r>
      <w:r>
        <w:t xml:space="preserve"> </w:t>
      </w:r>
      <w:r>
        <w:rPr>
          <w:iCs/>
          <w:i/>
        </w:rPr>
        <w:t xml:space="preserve">w</w:t>
      </w:r>
      <w:r>
        <w:rPr>
          <w:vertAlign w:val="subscript"/>
        </w:rPr>
        <w:t xml:space="preserve">А</w:t>
      </w:r>
      <w:r>
        <w:t xml:space="preserve">,</w:t>
      </w:r>
      <w:r>
        <w:t xml:space="preserve"> </w:t>
      </w:r>
      <w:r>
        <w:rPr>
          <w:iCs/>
          <w:i/>
        </w:rPr>
        <w:t xml:space="preserve">w</w:t>
      </w:r>
      <w:r>
        <w:rPr>
          <w:vertAlign w:val="subscript"/>
        </w:rPr>
        <w:t xml:space="preserve">Б</w:t>
      </w:r>
      <w:r>
        <w:t xml:space="preserve"> </w:t>
      </w:r>
      <w:r>
        <w:t xml:space="preserve">— расчетные влажности материалов для условий эксплуатации конструкции А или Б, %, соответственно, принимаемые по приложению Т СП 50.13330.2012 для данного типа материала, либо определяемые по результатам серии натурных экспериментов.</w:t>
      </w:r>
    </w:p>
    <w:p>
      <w:pPr>
        <w:pStyle w:val="BodyText"/>
      </w:pPr>
      <w:r>
        <w:t xml:space="preserve">Для проведения испытаний изготовили образцы размером (500×500) мм и толщиной 100 мм плотностью 41 кг/м</w:t>
      </w:r>
      <w:r>
        <w:rPr>
          <w:vertAlign w:val="superscript"/>
        </w:rPr>
        <w:t xml:space="preserve">3</w:t>
      </w:r>
      <w:r>
        <w:t xml:space="preserve">. Определение теплопроводности проводили при средней температуре образца 10</w:t>
      </w:r>
      <w:r>
        <w:rPr>
          <w:vertAlign w:val="superscript"/>
        </w:rPr>
        <w:t xml:space="preserve">0</w:t>
      </w:r>
      <w:r>
        <w:t xml:space="preserve">С в соответствии с ГОСТ 32314-2012 [5].</w:t>
      </w:r>
    </w:p>
    <w:p>
      <w:pPr>
        <w:pStyle w:val="BodyText"/>
      </w:pPr>
      <w:r>
        <w:t xml:space="preserve">Результаты испытаний приведены в таблице 2.</w:t>
      </w:r>
    </w:p>
    <w:p>
      <w:pPr>
        <w:pStyle w:val="BodyText"/>
      </w:pPr>
      <w:r>
        <w:drawing>
          <wp:inline>
            <wp:extent cx="5334000" cy="268306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9b7/ivaggbgmytiqxar3ygx4vvb9wa527zys/5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830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Анализ результатов, проведенных в лаборатории испытаний (табл. 2) показывает, что методика вышеуказанного стандарта позволяет установить расчетную теплопроводность материала при значениях расчетной влажности материала при условиях эксплуатации конструкций А и Б без применения дополнительного оборудования и длительных испытаний.</w:t>
      </w:r>
    </w:p>
    <w:p>
      <w:pPr>
        <w:pStyle w:val="BodyText"/>
      </w:pPr>
      <w:r>
        <w:rPr>
          <w:bCs/>
          <w:b/>
        </w:rPr>
        <w:t xml:space="preserve">Заключение</w:t>
      </w:r>
    </w:p>
    <w:p>
      <w:pPr>
        <w:pStyle w:val="BodyText"/>
      </w:pPr>
      <w:r>
        <w:t xml:space="preserve">Внедрение в практику проектирования тепловой защиты зданий методики, изложенной в ГОСТ Р 59985-2022 позволит значительно облегчить расчет теплотехнических показателей теплоизоляционных материалов и изделий при эксплуатационных условиях и повысить точность проводимых теплотехнических расчетов.</w:t>
      </w:r>
    </w:p>
    <w:p>
      <w:pPr>
        <w:pStyle w:val="BodyText"/>
      </w:pPr>
      <w:r>
        <w:rPr>
          <w:bCs/>
          <w:b/>
        </w:rPr>
        <w:t xml:space="preserve">Список использованной литературы</w:t>
      </w:r>
    </w:p>
    <w:p>
      <w:pPr>
        <w:pStyle w:val="BodyText"/>
      </w:pPr>
      <w:r>
        <w:t xml:space="preserve">1. ГОСТ 7076-99 «Материалы и изделия строительные. Метод определения теплопроводности и термического сопротивления при стационарном тепловом режиме»,</w:t>
      </w:r>
    </w:p>
    <w:p>
      <w:pPr>
        <w:pStyle w:val="BodyText"/>
      </w:pPr>
      <w:r>
        <w:t xml:space="preserve">2. ГОСТ Р 54855-2011 «Материалы и изделия строительные. Определение расчетных значений теплофизических характеристик»,</w:t>
      </w:r>
    </w:p>
    <w:p>
      <w:pPr>
        <w:pStyle w:val="BodyText"/>
      </w:pPr>
      <w:r>
        <w:t xml:space="preserve">3. ГОСТ Р 59985-2022 «Конструкции ограждающие зданий. Метод определения теплотехнических показателей теплоизоляционных материалов и изделий при эксплуатационных условиях»,</w:t>
      </w:r>
    </w:p>
    <w:p>
      <w:pPr>
        <w:pStyle w:val="BodyText"/>
      </w:pPr>
      <w:r>
        <w:t xml:space="preserve">4. СП 50.13330.2012 «СНиП 23-02−2003 Тепловая защита зданий»,</w:t>
      </w:r>
    </w:p>
    <w:p>
      <w:pPr>
        <w:pStyle w:val="BodyText"/>
      </w:pPr>
      <w:r>
        <w:t xml:space="preserve">5. ГОСТ 32314-2012 «Изделия из минеральной ваты теплоизоляционные промышленного производства, применяемые в строительстве. Общие технические условия».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подготовили:</w:t>
      </w:r>
    </w:p>
    <w:p>
      <w:pPr>
        <w:pStyle w:val="BodyText"/>
      </w:pPr>
      <w:r>
        <w:rPr>
          <w:iCs/>
          <w:i/>
        </w:rPr>
        <w:t xml:space="preserve">Ведущий инженер Лаборатории испытаний строительных материалов и</w:t>
      </w:r>
    </w:p>
    <w:p>
      <w:pPr>
        <w:pStyle w:val="BodyText"/>
      </w:pPr>
      <w:r>
        <w:rPr>
          <w:iCs/>
          <w:i/>
        </w:rPr>
        <w:t xml:space="preserve">конструкций ГБУ "ЦЭИИС"</w:t>
      </w:r>
      <w:r>
        <w:br/>
      </w:r>
    </w:p>
    <w:p>
      <w:pPr>
        <w:pStyle w:val="BodyText"/>
      </w:pPr>
      <w:r>
        <w:rPr>
          <w:iCs/>
          <w:i/>
        </w:rPr>
        <w:t xml:space="preserve">Жеглова Е.Л.,</w:t>
      </w:r>
      <w:r>
        <w:br/>
      </w:r>
    </w:p>
    <w:p>
      <w:pPr>
        <w:pStyle w:val="BodyText"/>
      </w:pPr>
      <w:r>
        <w:rPr>
          <w:iCs/>
          <w:i/>
        </w:rPr>
        <w:t xml:space="preserve">Инженер Лаборатории испытаний строительных материалов и</w:t>
      </w:r>
    </w:p>
    <w:p>
      <w:pPr>
        <w:pStyle w:val="BodyText"/>
      </w:pPr>
      <w:r>
        <w:rPr>
          <w:iCs/>
          <w:i/>
        </w:rPr>
        <w:t xml:space="preserve">конструкций ГБУ "ЦЭИИС"</w:t>
      </w:r>
    </w:p>
    <w:p>
      <w:pPr>
        <w:pStyle w:val="BodyText"/>
      </w:pPr>
      <w:r>
        <w:rPr>
          <w:iCs/>
          <w:i/>
        </w:rPr>
        <w:t xml:space="preserve">Кабанов Д.С.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http://ceiis.mos.ru/presscenter/nauchno-publitsisticheskie-stati/detail/11478517.html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ГБУ города Москвы «ЦЭИИС»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20" Target="media/rId20.jp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hyperlink" Id="rId36" Target="http://ceiis.mos.ru" TargetMode="External" /><Relationship Type="http://schemas.openxmlformats.org/officeDocument/2006/relationships/hyperlink" Id="rId35" Target="http://ceiis.mos.ru/presscenter/nauchno-publitsisticheskie-stati/detail/11478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ceiis.mos.ru" TargetMode="External" /><Relationship Type="http://schemas.openxmlformats.org/officeDocument/2006/relationships/hyperlink" Id="rId35" Target="http://ceiis.mos.ru/presscenter/nauchno-publitsisticheskie-stati/detail/11478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2025-04-10T00:16:52Z</dcterms:created>
  <dcterms:modified xsi:type="dcterms:W3CDTF">2025-04-10T00:16:52Z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