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18e8f6cbd928fb023bfe4342113275e92f982a6"/>
    <w:p>
      <w:pPr>
        <w:pStyle w:val="Heading3"/>
      </w:pPr>
      <w:r>
        <w:t xml:space="preserve">Оптимизация метода определения группы воспламеняемости строительных материалов по ГОСТ 30402-96</w:t>
      </w:r>
    </w:p>
    <w:p>
      <w:pPr>
        <w:pStyle w:val="FirstParagraph"/>
      </w:pPr>
      <w:r>
        <w:t xml:space="preserve">17.03.2023</w:t>
      </w:r>
    </w:p>
    <w:p>
      <w:pPr>
        <w:pStyle w:val="BodyText"/>
      </w:pPr>
      <w:r>
        <w:t xml:space="preserve">Согласно ст.13 ФЗ-123 «Технический регламент о требованиях пожарной безопасности» строительные материалы классифицируются по пожарной опасности. [1] Одной из классификаций является воспламеняемость – способность веществ и материалов к воспламенению. Испытание проводится по ГОСТ 30402-96 «Материалы строительные. Метод испытания на воспламеняемость». [2] Данный метод позволяет определить критическую поверхностную плотность теплового потока (КППТП), которая является ключевым критерием для присвоения группы по воспламеняемости. (Таблица 1)</w:t>
      </w:r>
      <w:r>
        <w:br/>
      </w:r>
    </w:p>
    <w:p>
      <w:pPr>
        <w:pStyle w:val="BodyText"/>
      </w:pPr>
      <w:r>
        <w:drawing>
          <wp:inline>
            <wp:extent cx="5334000" cy="118152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ceiis.mos.ru/www/upload/medialibrary/808/tp8sss29ekgwp0dhpblz9tqbavzmc6bq/2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815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Определение КППТП производится по следующей методике:</w:t>
      </w:r>
    </w:p>
    <w:p>
      <w:pPr>
        <w:pStyle w:val="BodyText"/>
      </w:pPr>
      <w:r>
        <w:t xml:space="preserve">1. На установке выставляют поверхностную плотность теплового потока (ППТП) равную 30 кВт/м</w:t>
      </w:r>
      <w:r>
        <w:rPr>
          <w:vertAlign w:val="superscript"/>
        </w:rPr>
        <w:t xml:space="preserve">2</w:t>
      </w:r>
      <w:r>
        <w:t xml:space="preserve">; испытывают образец в течении 15 минут. В случае воспламенения образца испытание прекращают и фиксируют время воспламенения,</w:t>
      </w:r>
    </w:p>
    <w:p>
      <w:pPr>
        <w:pStyle w:val="BodyText"/>
      </w:pPr>
      <w:r>
        <w:t xml:space="preserve">2. В случае отсутствия воспламенения в предыдущем испытании тепловой поток увеличивают до 40 кВт/м</w:t>
      </w:r>
      <w:r>
        <w:rPr>
          <w:vertAlign w:val="superscript"/>
        </w:rPr>
        <w:t xml:space="preserve">2</w:t>
      </w:r>
      <w:r>
        <w:t xml:space="preserve">. Если же воспламенение было зафиксировано, то тепловой поток понижают до 20 кВт/м</w:t>
      </w:r>
      <w:r>
        <w:rPr>
          <w:vertAlign w:val="superscript"/>
        </w:rPr>
        <w:t xml:space="preserve">2</w:t>
      </w:r>
      <w:r>
        <w:t xml:space="preserve">. Новый образец так же испытывается 15 минут, при воспламенении фиксируется время,</w:t>
      </w:r>
    </w:p>
    <w:p>
      <w:pPr>
        <w:pStyle w:val="BodyText"/>
      </w:pPr>
      <w:r>
        <w:t xml:space="preserve">3. Если при ППТП 20 кВт/м</w:t>
      </w:r>
      <w:r>
        <w:rPr>
          <w:vertAlign w:val="superscript"/>
        </w:rPr>
        <w:t xml:space="preserve">2</w:t>
      </w:r>
      <w:r>
        <w:t xml:space="preserve"> </w:t>
      </w:r>
      <w:r>
        <w:t xml:space="preserve">зафиксировано воспламенение, уменьшают величину ППТП до 10 кВт/м</w:t>
      </w:r>
      <w:r>
        <w:rPr>
          <w:vertAlign w:val="superscript"/>
        </w:rPr>
        <w:t xml:space="preserve">2</w:t>
      </w:r>
      <w:r>
        <w:t xml:space="preserve">. Если при ППТП 40 кВт/м</w:t>
      </w:r>
      <w:r>
        <w:rPr>
          <w:vertAlign w:val="superscript"/>
        </w:rPr>
        <w:t xml:space="preserve">2</w:t>
      </w:r>
      <w:r>
        <w:t xml:space="preserve"> </w:t>
      </w:r>
      <w:r>
        <w:t xml:space="preserve">воспламенение отсутствует, устанавливают величину ППТП 50 кВт/м</w:t>
      </w:r>
      <w:r>
        <w:rPr>
          <w:vertAlign w:val="superscript"/>
        </w:rPr>
        <w:t xml:space="preserve">2</w:t>
      </w:r>
      <w:r>
        <w:t xml:space="preserve">,</w:t>
      </w:r>
    </w:p>
    <w:p>
      <w:pPr>
        <w:pStyle w:val="BodyText"/>
      </w:pPr>
      <w:r>
        <w:t xml:space="preserve">4. Таким образом определяется две величины ППТП – такая, при которой наблюдается воспламенение, и другая, при которой воспламенение отсутствует. После этого задают величину ППТП на 5 кВт/м</w:t>
      </w:r>
      <w:r>
        <w:rPr>
          <w:vertAlign w:val="superscript"/>
        </w:rPr>
        <w:t xml:space="preserve">2</w:t>
      </w:r>
      <w:r>
        <w:t xml:space="preserve"> </w:t>
      </w:r>
      <w:r>
        <w:t xml:space="preserve">больше той величины, при которой воспламенение отсутствует. То есть, если на 20 кВт/м</w:t>
      </w:r>
      <w:r>
        <w:rPr>
          <w:vertAlign w:val="superscript"/>
        </w:rPr>
        <w:t xml:space="preserve">2</w:t>
      </w:r>
      <w:r>
        <w:t xml:space="preserve"> </w:t>
      </w:r>
      <w:r>
        <w:t xml:space="preserve">зафиксировано воспламенение, а на 10 кВт/м</w:t>
      </w:r>
      <w:r>
        <w:rPr>
          <w:vertAlign w:val="superscript"/>
        </w:rPr>
        <w:t xml:space="preserve">2</w:t>
      </w:r>
      <w:r>
        <w:t xml:space="preserve"> </w:t>
      </w:r>
      <w:r>
        <w:t xml:space="preserve">– отсутствует, то при следующем испытании тепловой поток выставляется на 15 кВт/м</w:t>
      </w:r>
      <w:r>
        <w:rPr>
          <w:vertAlign w:val="superscript"/>
        </w:rPr>
        <w:t xml:space="preserve">2</w:t>
      </w:r>
      <w:r>
        <w:t xml:space="preserve">,</w:t>
      </w:r>
    </w:p>
    <w:p>
      <w:pPr>
        <w:pStyle w:val="BodyText"/>
      </w:pPr>
      <w:r>
        <w:t xml:space="preserve">5. В зависимости от результатов испытаний величину ППТП увеличивают на 5 кВт/м</w:t>
      </w:r>
      <w:r>
        <w:rPr>
          <w:vertAlign w:val="superscript"/>
        </w:rPr>
        <w:t xml:space="preserve">2</w:t>
      </w:r>
      <w:r>
        <w:t xml:space="preserve"> </w:t>
      </w:r>
      <w:r>
        <w:t xml:space="preserve">(при отсутствии воспламенении) или уменьшают на 5 кВт/м</w:t>
      </w:r>
      <w:r>
        <w:rPr>
          <w:vertAlign w:val="superscript"/>
        </w:rPr>
        <w:t xml:space="preserve">2</w:t>
      </w:r>
      <w:r>
        <w:t xml:space="preserve"> </w:t>
      </w:r>
      <w:r>
        <w:t xml:space="preserve">(при наличии воспламенении) и повторяют испытание на двух образцах.</w:t>
      </w:r>
    </w:p>
    <w:p>
      <w:pPr>
        <w:pStyle w:val="BodyText"/>
      </w:pPr>
      <w:r>
        <w:rPr>
          <w:bCs/>
          <w:b/>
        </w:rPr>
        <w:t xml:space="preserve">Предложение оптимизации метода для определения группы воспламеняемости строительных материалов</w:t>
      </w:r>
    </w:p>
    <w:p>
      <w:pPr>
        <w:pStyle w:val="BodyText"/>
      </w:pPr>
      <w:r>
        <w:t xml:space="preserve">Предлагается проверять материал на двух основных тепловых потоках – 30 кВт/м</w:t>
      </w:r>
      <w:r>
        <w:rPr>
          <w:vertAlign w:val="superscript"/>
        </w:rPr>
        <w:t xml:space="preserve">2</w:t>
      </w:r>
      <w:r>
        <w:t xml:space="preserve"> </w:t>
      </w:r>
      <w:r>
        <w:t xml:space="preserve">и 15 кВт/м</w:t>
      </w:r>
      <w:r>
        <w:rPr>
          <w:vertAlign w:val="superscript"/>
        </w:rPr>
        <w:t xml:space="preserve">2</w:t>
      </w:r>
      <w:r>
        <w:t xml:space="preserve">. Обоснование предложения - с точки зрения надзорного органа материал проверяется на соответствие проектной документации, где прописано к какой группе воспламеняемости относится материал, и при этом не важно, воспламенится материал, к примеру, на 50 кВт/м</w:t>
      </w:r>
      <w:r>
        <w:rPr>
          <w:vertAlign w:val="superscript"/>
        </w:rPr>
        <w:t xml:space="preserve">2</w:t>
      </w:r>
      <w:r>
        <w:t xml:space="preserve"> </w:t>
      </w:r>
      <w:r>
        <w:t xml:space="preserve">или не воспламенится, важна только группа воспламеняемости. Таким образом, с точки зрения проверок, а не полного исследования материала, можно упростить метод испытания строительных материалов и задавать только проектное значение ППТП.</w:t>
      </w:r>
    </w:p>
    <w:p>
      <w:pPr>
        <w:pStyle w:val="BodyText"/>
      </w:pPr>
      <w:r>
        <w:t xml:space="preserve">Испытание предлагается проводить по следующей методике:</w:t>
      </w:r>
    </w:p>
    <w:p>
      <w:pPr>
        <w:pStyle w:val="BodyText"/>
      </w:pPr>
      <w:r>
        <w:t xml:space="preserve">1. Материал так же подвергается испытанию на 30 кВт/м</w:t>
      </w:r>
      <w:r>
        <w:rPr>
          <w:vertAlign w:val="superscript"/>
        </w:rPr>
        <w:t xml:space="preserve">2</w:t>
      </w:r>
      <w:r>
        <w:t xml:space="preserve">. Если при отжиге 3 образцов на 30 кВт/м</w:t>
      </w:r>
      <w:r>
        <w:rPr>
          <w:vertAlign w:val="superscript"/>
        </w:rPr>
        <w:t xml:space="preserve">2</w:t>
      </w:r>
      <w:r>
        <w:t xml:space="preserve"> </w:t>
      </w:r>
      <w:r>
        <w:t xml:space="preserve">не фиксируется воспламеняемость присваивать группу В1, по той причине, что даже если данный материал воспламенится на потоке в 35 кВт/м</w:t>
      </w:r>
      <w:r>
        <w:rPr>
          <w:vertAlign w:val="superscript"/>
        </w:rPr>
        <w:t xml:space="preserve">2</w:t>
      </w:r>
      <w:r>
        <w:t xml:space="preserve">, то всё равно будет присвоена группа В1, а в протоколе о результатах испытания указывать величину теплового потока «35 и более».</w:t>
      </w:r>
    </w:p>
    <w:p>
      <w:pPr>
        <w:pStyle w:val="BodyText"/>
      </w:pPr>
      <w:r>
        <w:t xml:space="preserve">2. В случае воспламенения образца на потоке 30 кВт/м</w:t>
      </w:r>
      <w:r>
        <w:rPr>
          <w:vertAlign w:val="superscript"/>
        </w:rPr>
        <w:t xml:space="preserve">2</w:t>
      </w:r>
      <w:r>
        <w:t xml:space="preserve"> </w:t>
      </w:r>
      <w:r>
        <w:t xml:space="preserve">опускаться на вторую точку равную 15 кВт/м</w:t>
      </w:r>
      <w:r>
        <w:rPr>
          <w:vertAlign w:val="superscript"/>
        </w:rPr>
        <w:t xml:space="preserve">2</w:t>
      </w:r>
      <w:r>
        <w:t xml:space="preserve">.</w:t>
      </w:r>
    </w:p>
    <w:p>
      <w:pPr>
        <w:pStyle w:val="BodyText"/>
      </w:pPr>
      <w:r>
        <w:t xml:space="preserve">3. При отсутствии воспламенения на 15 кВт/м</w:t>
      </w:r>
      <w:r>
        <w:rPr>
          <w:vertAlign w:val="superscript"/>
        </w:rPr>
        <w:t xml:space="preserve">2</w:t>
      </w:r>
      <w:r>
        <w:t xml:space="preserve"> </w:t>
      </w:r>
      <w:r>
        <w:t xml:space="preserve">присваивать группу В2, по той логике, что даже если воспламенение будет зафиксировано на 20 кВт/м</w:t>
      </w:r>
      <w:r>
        <w:rPr>
          <w:vertAlign w:val="superscript"/>
        </w:rPr>
        <w:t xml:space="preserve">2</w:t>
      </w:r>
      <w:r>
        <w:t xml:space="preserve">, то будет всё равно присвоена группа воспламеняемости В2, а в протоколе испытаний указывать ППТП «20 и более, но менее 30».</w:t>
      </w:r>
    </w:p>
    <w:p>
      <w:pPr>
        <w:pStyle w:val="BodyText"/>
      </w:pPr>
      <w:r>
        <w:t xml:space="preserve">4. При наличии воспламенения на 15 кВт/2м</w:t>
      </w:r>
      <w:r>
        <w:rPr>
          <w:vertAlign w:val="superscript"/>
        </w:rPr>
        <w:t xml:space="preserve">2</w:t>
      </w:r>
      <w:r>
        <w:t xml:space="preserve"> </w:t>
      </w:r>
      <w:r>
        <w:t xml:space="preserve">присваивать группу В3, в протоколе о результатах испытания указывать «15 и менее».</w:t>
      </w:r>
    </w:p>
    <w:p>
      <w:pPr>
        <w:pStyle w:val="BodyText"/>
      </w:pPr>
      <w:r>
        <w:rPr>
          <w:bCs/>
          <w:b/>
        </w:rPr>
        <w:t xml:space="preserve">Выводы</w:t>
      </w:r>
    </w:p>
    <w:p>
      <w:pPr>
        <w:pStyle w:val="BodyText"/>
      </w:pPr>
      <w:r>
        <w:t xml:space="preserve">Оптимизация данного ГОСТа позволит увеличить количество проводимых работ. Вторым положительным результатом является увеличение срока испытательного оборудования – на установке не потребуется после каждого испытания образца менять величину теплового потока.</w:t>
      </w:r>
    </w:p>
    <w:p>
      <w:pPr>
        <w:pStyle w:val="BodyText"/>
      </w:pPr>
      <w:r>
        <w:rPr>
          <w:bCs/>
          <w:b/>
        </w:rPr>
        <w:t xml:space="preserve">Литература</w:t>
      </w:r>
    </w:p>
    <w:p>
      <w:pPr>
        <w:pStyle w:val="BodyText"/>
      </w:pPr>
      <w:r>
        <w:t xml:space="preserve">1. Технический регламент о требованиях пожарной безопасности (в ред. от 14.07.2022):Федер. закон РФ от 22.07.2008; принят Гос. Думой 04.07.2008; одобр. Сов. Федерации 11.07.2008. Доступ из справ.-правовой системы «Кодекс».</w:t>
      </w:r>
    </w:p>
    <w:p>
      <w:pPr>
        <w:pStyle w:val="BodyText"/>
      </w:pPr>
      <w:r>
        <w:t xml:space="preserve">2. ГОСТ 30402-96. Материалы строительные. Метод испытаний на воспламеняемость.</w:t>
      </w:r>
    </w:p>
    <w:p>
      <w:pPr>
        <w:pStyle w:val="BodyText"/>
      </w:pPr>
      <w:r>
        <w:rPr>
          <w:iCs/>
          <w:i/>
        </w:rPr>
        <w:t xml:space="preserve">Статью подготовили:</w:t>
      </w:r>
    </w:p>
    <w:p>
      <w:pPr>
        <w:pStyle w:val="BodyText"/>
      </w:pPr>
      <w:r>
        <w:rPr>
          <w:iCs/>
          <w:i/>
        </w:rPr>
        <w:t xml:space="preserve">Ведущий инженер Лаборатории огневых испытаний ГБУ «ЦЭИИС» Сеин А.В.,</w:t>
      </w:r>
    </w:p>
    <w:p>
      <w:pPr>
        <w:pStyle w:val="BodyText"/>
      </w:pPr>
      <w:r>
        <w:rPr>
          <w:iCs/>
          <w:i/>
        </w:rPr>
        <w:t xml:space="preserve">Инженер Лаборатории огневых испытаний ГБУ «ЦЭИИС» Арташина А.Э.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http://ceiis.mos.ru/presscenter/nauchno-publitsisticheskie-stati/detail/11471228.html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ГБУ города Москвы «ЦЭИИС»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ceiis.mos.ru" TargetMode="External" /><Relationship Type="http://schemas.openxmlformats.org/officeDocument/2006/relationships/hyperlink" Id="rId23" Target="http://ceiis.mos.ru/presscenter/nauchno-publitsisticheskie-stati/detail/1147122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ceiis.mos.ru" TargetMode="External" /><Relationship Type="http://schemas.openxmlformats.org/officeDocument/2006/relationships/hyperlink" Id="rId23" Target="http://ceiis.mos.ru/presscenter/nauchno-publitsisticheskie-stati/detail/1147122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2025-04-10T00:16:40Z</dcterms:created>
  <dcterms:modified xsi:type="dcterms:W3CDTF">2025-04-10T00:16:40Z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