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38.png" ContentType="image/png"/>
  <Override PartName="/word/media/rId29.png" ContentType="image/png"/>
  <Override PartName="/word/media/rId47.png" ContentType="image/png"/>
  <Override PartName="/word/media/rId23.png" ContentType="image/png"/>
  <Override PartName="/word/media/rId59.png" ContentType="image/png"/>
  <Override PartName="/word/media/rId44.png" ContentType="image/png"/>
  <Override PartName="/word/media/rId32.png" ContentType="image/png"/>
  <Override PartName="/word/media/rId56.png" ContentType="image/png"/>
  <Override PartName="/word/media/rId41.png" ContentType="image/png"/>
  <Override PartName="/word/media/rId26.png" ContentType="image/png"/>
  <Override PartName="/word/media/rId53.png" ContentType="image/png"/>
  <Override PartName="/word/media/rId35.png" ContentType="image/png"/>
  <Override PartName="/word/media/rId50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425f6142a950f4267792e8f86a810eab42008a4"/>
    <w:p>
      <w:pPr>
        <w:pStyle w:val="Heading3"/>
      </w:pPr>
      <w:r>
        <w:t xml:space="preserve">Опыт практического применения ГОСТ 7392-2014 при испытании щебня из плотных горных пород для балластного слоя железнодорожного пути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С 1 декабря 2015 года введен в действие в качестве национального стандарта Российской Федерации ГОСТ 7392 «Щебень из плотных горных для балластного слоя железнодорожного пути» в редакции 2014 года.</w:t>
      </w:r>
    </w:p>
    <w:p>
      <w:pPr>
        <w:pStyle w:val="BodyText"/>
      </w:pPr>
      <w:r>
        <w:t xml:space="preserve">Накопленный опыт его практического применения позволяет говорить о необходимости его дальнейшего совершенствования.</w:t>
      </w:r>
    </w:p>
    <w:p>
      <w:pPr>
        <w:pStyle w:val="BodyText"/>
      </w:pPr>
      <w:r>
        <w:t xml:space="preserve">И говорить можно не только о досадных опечатках/разночтениях в индексах буквенного обозначения массы навески, отобранной для определения содержания зерен пластинчатой и лещадной формы (</w:t>
      </w:r>
      <w:r>
        <w:rPr>
          <w:iCs/>
          <w:i/>
        </w:rPr>
        <w:t xml:space="preserve">m</w:t>
      </w:r>
      <w:r>
        <w:rPr>
          <w:vertAlign w:val="subscript"/>
        </w:rPr>
        <w:t xml:space="preserve">н</w:t>
      </w:r>
      <w:r>
        <w:t xml:space="preserve">/</w:t>
      </w:r>
      <w:r>
        <w:rPr>
          <w:iCs/>
          <w:i/>
        </w:rPr>
        <w:t xml:space="preserve">m</w:t>
      </w:r>
      <w:r>
        <w:rPr>
          <w:vertAlign w:val="subscript"/>
        </w:rPr>
        <w:t xml:space="preserve">l</w:t>
      </w:r>
      <w:r>
        <w:t xml:space="preserve">):</w:t>
      </w:r>
    </w:p>
    <w:p>
      <w:pPr>
        <w:pStyle w:val="BodyText"/>
      </w:pPr>
      <w:r>
        <w:drawing>
          <wp:inline>
            <wp:extent cx="5334000" cy="22811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e9/du7dtqpkf05k02kcdyae04c8hav80lz5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81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Или о некоторой, по мнению автора, «громоздкости» формулировки правил отбора такой навески:</w:t>
      </w:r>
    </w:p>
    <w:p>
      <w:pPr>
        <w:pStyle w:val="BodyText"/>
      </w:pPr>
      <w:r>
        <w:drawing>
          <wp:inline>
            <wp:extent cx="5334000" cy="8001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06/7y6dfodjw6mpwy4zqq30wn42kkeiwyua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сравнению с простой, привычной и логически понятной формулировкой в действовавшем с 01.07.2012 по 30.11.2015 ГОСТ Р 54748-2011:</w:t>
      </w:r>
    </w:p>
    <w:p>
      <w:pPr>
        <w:pStyle w:val="BodyText"/>
      </w:pPr>
      <w:r>
        <w:drawing>
          <wp:inline>
            <wp:extent cx="5334000" cy="114492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76/9jpsx2igu03si2dfvu1rldrp2cvu41z4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449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тяготеющей к «классическому» щебеночному ГОСТ 8269.0., на который ссылался и ГОСТ 7392 в предыдущей редакции от 2002 года:</w:t>
      </w:r>
    </w:p>
    <w:p>
      <w:pPr>
        <w:pStyle w:val="BodyText"/>
      </w:pPr>
      <w:r>
        <w:drawing>
          <wp:inline>
            <wp:extent cx="5334000" cy="81642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1f/5kpli60wch1mueappfnk7sm0hlxmmdde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6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также о необходимости, при определении «лещадки», испытывать ВСЮ лабораторную пробу целиком (то есть, не менее 30 кг), если полные остатки на сите 60 (63) мм равны 0% а полные остатки на сите 30 или 25 (22,4) мм равны 100%.</w:t>
      </w:r>
    </w:p>
    <w:p>
      <w:pPr>
        <w:pStyle w:val="BodyText"/>
      </w:pPr>
      <w:r>
        <w:t xml:space="preserve">Значительно больше беспокойства вызывает рассогласованность правил</w:t>
      </w:r>
      <w:r>
        <w:t xml:space="preserve"> </w:t>
      </w:r>
      <w:r>
        <w:rPr>
          <w:u w:val="single"/>
        </w:rPr>
        <w:t xml:space="preserve">приготовления/отбора</w:t>
      </w:r>
      <w:r>
        <w:t xml:space="preserve"> </w:t>
      </w:r>
      <w:r>
        <w:t xml:space="preserve">лабораторных и аналитических проб для определения величины потери массы после испытаний на истираемость в полочном барабане.</w:t>
      </w:r>
    </w:p>
    <w:p>
      <w:pPr>
        <w:pStyle w:val="BodyText"/>
      </w:pPr>
      <w:r>
        <w:t xml:space="preserve">Для начала хотелось бы обратить внимание на некорректность примечания к пункту 7.8.3 «Порядок подготовки к проведению контроля» в части, касающейся щебня категории "В":</w:t>
      </w:r>
    </w:p>
    <w:p>
      <w:pPr>
        <w:pStyle w:val="BodyText"/>
      </w:pPr>
      <w:r>
        <w:t xml:space="preserve">В своей, ныне действующей редакции, ГОСТ в части, касающейся щебня категории "В" гласит:</w:t>
      </w:r>
    </w:p>
    <w:p>
      <w:pPr>
        <w:pStyle w:val="BodyText"/>
      </w:pPr>
      <w:r>
        <w:drawing>
          <wp:inline>
            <wp:extent cx="5334000" cy="351699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21/zotigrm4xcd1igua86q16utu48wt0gx9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Однако, при определении зернового состава щебня категории "В", в колонке сит между ситами</w:t>
      </w:r>
      <w:r>
        <w:t xml:space="preserve"> </w:t>
      </w:r>
      <w:r>
        <w:rPr>
          <w:bCs/>
          <w:b/>
        </w:rPr>
        <w:t xml:space="preserve">40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22,4</w:t>
      </w:r>
      <w:r>
        <w:t xml:space="preserve"> </w:t>
      </w:r>
      <w:r>
        <w:t xml:space="preserve">мм размещается ещё и сито</w:t>
      </w:r>
      <w:r>
        <w:t xml:space="preserve"> </w:t>
      </w:r>
      <w:r>
        <w:rPr>
          <w:bCs/>
          <w:b/>
        </w:rPr>
        <w:t xml:space="preserve">31,5</w:t>
      </w:r>
      <w:r>
        <w:t xml:space="preserve"> </w:t>
      </w:r>
      <w:r>
        <w:t xml:space="preserve">мм (подпункт 5.1.1 Таблица 2):</w:t>
      </w:r>
    </w:p>
    <w:p>
      <w:pPr>
        <w:pStyle w:val="BodyText"/>
      </w:pPr>
      <w:r>
        <w:drawing>
          <wp:inline>
            <wp:extent cx="5334000" cy="168442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de/55ktkh5szxnvwkjz80ioir9f72pbkz3f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84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 получается, что требования к зерновому составу щебня категории "В" допускают ОТСУТСТВИЕ ЧАСТНОГО ОСТАТКА на сите с квадратными ячейками размером</w:t>
      </w:r>
      <w:r>
        <w:t xml:space="preserve"> </w:t>
      </w:r>
      <w:r>
        <w:rPr>
          <w:bCs/>
          <w:b/>
        </w:rPr>
        <w:t xml:space="preserve">22,4</w:t>
      </w:r>
      <w:r>
        <w:t xml:space="preserve"> </w:t>
      </w:r>
      <w:r>
        <w:t xml:space="preserve">мм, если на сите с квадратными ячейками размером</w:t>
      </w:r>
      <w:r>
        <w:t xml:space="preserve"> </w:t>
      </w:r>
      <w:r>
        <w:rPr>
          <w:bCs/>
          <w:b/>
        </w:rPr>
        <w:t xml:space="preserve">31,5</w:t>
      </w:r>
      <w:r>
        <w:t xml:space="preserve"> </w:t>
      </w:r>
      <w:r>
        <w:t xml:space="preserve">мм ПОЛНЫЙ ОСТАТОК составил 98-99%.</w:t>
      </w:r>
    </w:p>
    <w:p>
      <w:pPr>
        <w:pStyle w:val="BodyText"/>
      </w:pPr>
      <w:r>
        <w:t xml:space="preserve">В связи с чем напрашиваются изменения в тексте примечания к пункту 7.8.3 в части, касающейся щебня категории "В":</w:t>
      </w:r>
    </w:p>
    <w:p>
      <w:pPr>
        <w:pStyle w:val="BodyText"/>
      </w:pPr>
      <w:r>
        <w:drawing>
          <wp:inline>
            <wp:extent cx="5334000" cy="107901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f1/b2tr6kosnb5xrsdi9ay3lh6qvv0w380y/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9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Ну и наконец – о самом спорном в правилах приготовления/отбора лабораторных и аналитических проб для определения истираемости щебня для балластного слоя железнодорожного пути.</w:t>
      </w:r>
    </w:p>
    <w:p>
      <w:pPr>
        <w:pStyle w:val="BodyText"/>
      </w:pPr>
      <w:r>
        <w:t xml:space="preserve">Пункту 7.8.3 «Порядок подготовки к проведению контроля» предписывает:</w:t>
      </w:r>
    </w:p>
    <w:p>
      <w:pPr>
        <w:pStyle w:val="BodyText"/>
      </w:pPr>
      <w:r>
        <w:drawing>
          <wp:inline>
            <wp:extent cx="5334000" cy="175032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27/69owxbhf70cd43tm3kfiqrwevwn3pcjc/8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50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того, чтобы понять, почему не только 30-килограммовой «</w:t>
      </w:r>
      <w:r>
        <w:rPr>
          <w:bCs/>
          <w:b/>
        </w:rPr>
        <w:t xml:space="preserve">отобранной</w:t>
      </w:r>
      <w:r>
        <w:t xml:space="preserve">», но и 50-килограммовой</w:t>
      </w:r>
      <w:r>
        <w:t xml:space="preserve"> </w:t>
      </w:r>
      <w:r>
        <w:rPr>
          <w:bCs/>
          <w:b/>
        </w:rPr>
        <w:t xml:space="preserve">лабораторной</w:t>
      </w:r>
      <w:r>
        <w:t xml:space="preserve"> </w:t>
      </w:r>
      <w:r>
        <w:t xml:space="preserve">пробы может оказаться НЕДОСТАТОЧНО для отбора 20-килограммовой</w:t>
      </w:r>
      <w:r>
        <w:t xml:space="preserve"> </w:t>
      </w:r>
      <w:r>
        <w:rPr>
          <w:bCs/>
          <w:b/>
        </w:rPr>
        <w:t xml:space="preserve">аналитической</w:t>
      </w:r>
      <w:r>
        <w:t xml:space="preserve"> </w:t>
      </w:r>
      <w:r>
        <w:t xml:space="preserve">пробы, имеет смысл определить пределы допустимых частных остатков на ситах при определении зернового состава:</w:t>
      </w:r>
    </w:p>
    <w:p>
      <w:pPr>
        <w:pStyle w:val="BodyText"/>
      </w:pPr>
      <w:r>
        <w:t xml:space="preserve">- для щебня категории "В":</w:t>
      </w:r>
    </w:p>
    <w:p>
      <w:pPr>
        <w:pStyle w:val="BodyText"/>
      </w:pPr>
      <w:r>
        <w:drawing>
          <wp:inline>
            <wp:extent cx="5334000" cy="2005313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fa/33r3cpm0flbv1mgnzx8cp5n4oppp2pck/9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53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для щебня категорий I и II:</w:t>
      </w:r>
    </w:p>
    <w:p>
      <w:pPr>
        <w:pStyle w:val="BodyText"/>
      </w:pPr>
      <w:r>
        <w:drawing>
          <wp:inline>
            <wp:extent cx="5334000" cy="1363883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73/noh1v2l4ipzt69ukk4njbus0pkaa6s2g/10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63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 определить допустимую массу остатков на ситах 31,5 и 22,4 мм (суммарных), 30 (25) мм:</w:t>
      </w:r>
    </w:p>
    <w:p>
      <w:pPr>
        <w:pStyle w:val="BodyText"/>
      </w:pPr>
      <w:r>
        <w:drawing>
          <wp:inline>
            <wp:extent cx="5334000" cy="2240143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57/p28hfr3cm6oehibd1c82lcmrjmaaxhju/11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0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полученных результатов можно сделать выводы, что:</w:t>
      </w:r>
    </w:p>
    <w:p>
      <w:pPr>
        <w:pStyle w:val="BodyText"/>
      </w:pPr>
      <w:r>
        <w:t xml:space="preserve">1) Из «</w:t>
      </w:r>
      <w:r>
        <w:rPr>
          <w:bCs/>
          <w:b/>
        </w:rPr>
        <w:t xml:space="preserve">отобранной</w:t>
      </w:r>
      <w:r>
        <w:t xml:space="preserve">» пробы массой 30 кг</w:t>
      </w:r>
      <w:r>
        <w:t xml:space="preserve"> </w:t>
      </w:r>
      <w:r>
        <w:rPr>
          <w:bCs/>
          <w:b/>
        </w:rPr>
        <w:t xml:space="preserve">в принципе</w:t>
      </w:r>
      <w:r>
        <w:t xml:space="preserve"> </w:t>
      </w:r>
      <w:r>
        <w:t xml:space="preserve">НЕВОЗМОЖНО отобрать</w:t>
      </w:r>
      <w:r>
        <w:t xml:space="preserve"> </w:t>
      </w:r>
      <w:r>
        <w:rPr>
          <w:bCs/>
          <w:b/>
        </w:rPr>
        <w:t xml:space="preserve">аналитическую</w:t>
      </w:r>
      <w:r>
        <w:t xml:space="preserve"> </w:t>
      </w:r>
      <w:r>
        <w:t xml:space="preserve">пробу массой 20 кг.</w:t>
      </w:r>
    </w:p>
    <w:p>
      <w:pPr>
        <w:pStyle w:val="BodyText"/>
      </w:pPr>
      <w:r>
        <w:t xml:space="preserve">2) Из</w:t>
      </w:r>
      <w:r>
        <w:t xml:space="preserve"> </w:t>
      </w:r>
      <w:r>
        <w:rPr>
          <w:bCs/>
          <w:b/>
        </w:rPr>
        <w:t xml:space="preserve">лабораторной</w:t>
      </w:r>
      <w:r>
        <w:t xml:space="preserve"> </w:t>
      </w:r>
      <w:r>
        <w:t xml:space="preserve">пробы массой 50 кг НЕВОЗМОЖНО отобрать</w:t>
      </w:r>
      <w:r>
        <w:t xml:space="preserve"> </w:t>
      </w:r>
      <w:r>
        <w:rPr>
          <w:bCs/>
          <w:b/>
        </w:rPr>
        <w:t xml:space="preserve">аналитическую</w:t>
      </w:r>
      <w:r>
        <w:t xml:space="preserve"> </w:t>
      </w:r>
      <w:r>
        <w:t xml:space="preserve">пробу массой 20 кг:</w:t>
      </w:r>
    </w:p>
    <w:p>
      <w:pPr>
        <w:pStyle w:val="BodyText"/>
      </w:pPr>
      <w:r>
        <w:t xml:space="preserve">a) при суммарных частных остатках на ситах</w:t>
      </w:r>
      <w:r>
        <w:t xml:space="preserve"> </w:t>
      </w:r>
      <w:r>
        <w:rPr>
          <w:bCs/>
          <w:b/>
        </w:rPr>
        <w:t xml:space="preserve">31,5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22,4</w:t>
      </w:r>
      <w:r>
        <w:t xml:space="preserve"> </w:t>
      </w:r>
      <w:r>
        <w:t xml:space="preserve">мм 28-39% (14-19,5 кг) и полных остатках на сите</w:t>
      </w:r>
      <w:r>
        <w:t xml:space="preserve"> </w:t>
      </w:r>
      <w:r>
        <w:rPr>
          <w:bCs/>
          <w:b/>
        </w:rPr>
        <w:t xml:space="preserve">40</w:t>
      </w:r>
      <w:r>
        <w:t xml:space="preserve"> </w:t>
      </w:r>
      <w:r>
        <w:t xml:space="preserve">мм 59-70%;</w:t>
      </w:r>
    </w:p>
    <w:p>
      <w:pPr>
        <w:pStyle w:val="BodyText"/>
      </w:pPr>
      <w:r>
        <w:t xml:space="preserve">b) при частных остатках на ситах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(</w:t>
      </w:r>
      <w:r>
        <w:rPr>
          <w:bCs/>
          <w:b/>
        </w:rPr>
        <w:t xml:space="preserve">25</w:t>
      </w:r>
      <w:r>
        <w:t xml:space="preserve">) мм 20-39% (10-19,5 кг) и полных остатках на сите</w:t>
      </w:r>
      <w:r>
        <w:t xml:space="preserve"> </w:t>
      </w:r>
      <w:r>
        <w:rPr>
          <w:bCs/>
          <w:b/>
        </w:rPr>
        <w:t xml:space="preserve">40</w:t>
      </w:r>
      <w:r>
        <w:t xml:space="preserve"> </w:t>
      </w:r>
      <w:r>
        <w:t xml:space="preserve">мм 56-75%.</w:t>
      </w:r>
    </w:p>
    <w:p>
      <w:pPr>
        <w:pStyle w:val="BodyText"/>
      </w:pPr>
      <w:r>
        <w:t xml:space="preserve">3) В «предельном» варианте, при полном остатке на сите</w:t>
      </w:r>
      <w:r>
        <w:t xml:space="preserve"> </w:t>
      </w:r>
      <w:r>
        <w:rPr>
          <w:bCs/>
          <w:b/>
        </w:rPr>
        <w:t xml:space="preserve">40</w:t>
      </w:r>
      <w:r>
        <w:t xml:space="preserve"> </w:t>
      </w:r>
      <w:r>
        <w:t xml:space="preserve">мм – 75%, для отбора</w:t>
      </w:r>
      <w:r>
        <w:t xml:space="preserve"> </w:t>
      </w:r>
      <w:r>
        <w:rPr>
          <w:bCs/>
          <w:b/>
        </w:rPr>
        <w:t xml:space="preserve">аналитической</w:t>
      </w:r>
      <w:r>
        <w:t xml:space="preserve"> </w:t>
      </w:r>
      <w:r>
        <w:t xml:space="preserve">пробы массой 20 кг, масса</w:t>
      </w:r>
      <w:r>
        <w:t xml:space="preserve"> </w:t>
      </w:r>
      <w:r>
        <w:rPr>
          <w:bCs/>
          <w:b/>
        </w:rPr>
        <w:t xml:space="preserve">лабораторной</w:t>
      </w:r>
      <w:r>
        <w:t xml:space="preserve"> </w:t>
      </w:r>
      <w:r>
        <w:t xml:space="preserve">пробы должна быть не менее 100 кг.</w:t>
      </w:r>
    </w:p>
    <w:p>
      <w:pPr>
        <w:pStyle w:val="BodyText"/>
      </w:pPr>
      <w:r>
        <w:t xml:space="preserve">И ситуацию не спасает предписание из примечания к пункту 7.8.3:</w:t>
      </w:r>
    </w:p>
    <w:p>
      <w:pPr>
        <w:pStyle w:val="BodyText"/>
      </w:pPr>
      <w:r>
        <w:drawing>
          <wp:inline>
            <wp:extent cx="5334000" cy="1062712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86/zotjb7ue0eni4jvrnruk61se69k3hfif/12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2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Поскольку, согласно пункту 6.7.2,</w:t>
      </w:r>
      <w:r>
        <w:t xml:space="preserve"> </w:t>
      </w:r>
      <w:r>
        <w:rPr>
          <w:bCs/>
          <w:b/>
        </w:rPr>
        <w:t xml:space="preserve">лабораторную</w:t>
      </w:r>
      <w:r>
        <w:t xml:space="preserve"> </w:t>
      </w:r>
      <w:r>
        <w:t xml:space="preserve">пробу готовят из</w:t>
      </w:r>
      <w:r>
        <w:t xml:space="preserve"> </w:t>
      </w:r>
      <w:r>
        <w:rPr>
          <w:bCs/>
          <w:b/>
        </w:rPr>
        <w:t xml:space="preserve">объединенной</w:t>
      </w:r>
      <w:r>
        <w:t xml:space="preserve"> </w:t>
      </w:r>
      <w:r>
        <w:t xml:space="preserve">пробы ПЕРЕД отправкой в лабораторию:</w:t>
      </w:r>
    </w:p>
    <w:p>
      <w:pPr>
        <w:pStyle w:val="BodyText"/>
      </w:pPr>
      <w:r>
        <w:drawing>
          <wp:inline>
            <wp:extent cx="5334000" cy="550606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14/6s6q99raz4skn0bg14ddyr1evw2yp4ty/13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0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 соответственно, у лаборатории не будет никакой возможности «дополнительно отобрать и просеять щебень» из</w:t>
      </w:r>
      <w:r>
        <w:t xml:space="preserve"> </w:t>
      </w:r>
      <w:r>
        <w:rPr>
          <w:bCs/>
          <w:b/>
        </w:rPr>
        <w:t xml:space="preserve">объединенной</w:t>
      </w:r>
      <w:r>
        <w:t xml:space="preserve"> </w:t>
      </w:r>
      <w:r>
        <w:t xml:space="preserve">пробы массой не менее 120 кг.</w:t>
      </w:r>
    </w:p>
    <w:p>
      <w:pPr>
        <w:pStyle w:val="BodyText"/>
      </w:pPr>
      <w:r>
        <w:t xml:space="preserve">В связи с вышеизложенным следует только добавить, что от подобных проблем с отбором аналитической пробы для определения истираемости ГОСТ 7392 был в достаточной степени защищён в своей предыдущей редакции от 2002 года, где в пункте 6.1 просто предписывалось:</w:t>
      </w:r>
    </w:p>
    <w:p>
      <w:pPr>
        <w:pStyle w:val="BodyText"/>
      </w:pPr>
      <w:r>
        <w:drawing>
          <wp:inline>
            <wp:extent cx="5334000" cy="513794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41/ukdcnmn6nowp1tkdlmqtygx1p1exfda1/14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3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ГОСТ 8269.0 в пункте 4.10.2 допускает определение истираемости щебня фракций более 40 мм:</w:t>
      </w:r>
    </w:p>
    <w:p>
      <w:pPr>
        <w:pStyle w:val="BodyText"/>
      </w:pPr>
      <w:r>
        <w:drawing>
          <wp:inline>
            <wp:extent cx="5334000" cy="566564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41/xm58d8s1nd13sp1riq9umc0fiaenpo7s/15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конструктивных слоев дорожных одежд и</w:t>
      </w:r>
    </w:p>
    <w:p>
      <w:pPr>
        <w:pStyle w:val="BodyText"/>
      </w:pPr>
      <w:r>
        <w:rPr>
          <w:iCs/>
          <w:i/>
        </w:rPr>
        <w:t xml:space="preserve">грунтов ГБУ "ЦЭИИС" П.М. Мамаев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http://ceiis.mos.ru/presscenter/nauchno-publitsisticheskie-stati/detail/11434772.html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ГБУ города Москвы «ЦЭИИС»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62" Target="media/rId62.png" /><Relationship Type="http://schemas.openxmlformats.org/officeDocument/2006/relationships/image" Id="rId38" Target="media/rId38.png" /><Relationship Type="http://schemas.openxmlformats.org/officeDocument/2006/relationships/image" Id="rId29" Target="media/rId29.png" /><Relationship Type="http://schemas.openxmlformats.org/officeDocument/2006/relationships/image" Id="rId47" Target="media/rId47.png" /><Relationship Type="http://schemas.openxmlformats.org/officeDocument/2006/relationships/image" Id="rId23" Target="media/rId23.png" /><Relationship Type="http://schemas.openxmlformats.org/officeDocument/2006/relationships/image" Id="rId59" Target="media/rId59.png" /><Relationship Type="http://schemas.openxmlformats.org/officeDocument/2006/relationships/image" Id="rId44" Target="media/rId4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image" Id="rId41" Target="media/rId41.png" /><Relationship Type="http://schemas.openxmlformats.org/officeDocument/2006/relationships/image" Id="rId26" Target="media/rId26.png" /><Relationship Type="http://schemas.openxmlformats.org/officeDocument/2006/relationships/image" Id="rId53" Target="media/rId53.png" /><Relationship Type="http://schemas.openxmlformats.org/officeDocument/2006/relationships/image" Id="rId35" Target="media/rId35.png" /><Relationship Type="http://schemas.openxmlformats.org/officeDocument/2006/relationships/image" Id="rId50" Target="media/rId50.png" /><Relationship Type="http://schemas.openxmlformats.org/officeDocument/2006/relationships/image" Id="rId20" Target="media/rId20.png" /><Relationship Type="http://schemas.openxmlformats.org/officeDocument/2006/relationships/hyperlink" Id="rId66" Target="http://ceiis.mos.ru" TargetMode="External" /><Relationship Type="http://schemas.openxmlformats.org/officeDocument/2006/relationships/hyperlink" Id="rId65" Target="http://ceiis.mos.ru/presscenter/nauchno-publitsisticheskie-stati/detail/1143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ceiis.mos.ru" TargetMode="External" /><Relationship Type="http://schemas.openxmlformats.org/officeDocument/2006/relationships/hyperlink" Id="rId65" Target="http://ceiis.mos.ru/presscenter/nauchno-publitsisticheskie-stati/detail/1143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2025-04-10T00:16:20Z</dcterms:created>
  <dcterms:modified xsi:type="dcterms:W3CDTF">2025-04-10T00:16:20Z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