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29.jpg" ContentType="image/jpeg"/>
  <Override PartName="/word/media/rId23.png" ContentType="image/png"/>
  <Override PartName="/word/media/rId26.jpg" ContentType="image/jpeg"/>
  <Override PartName="/word/media/rId20.png" ContentType="image/png"/>
  <Override PartName="/word/media/rId32.png" ContentType="image/png"/>
  <Override PartName="/word/media/rId38.png" ContentType="image/png"/>
  <Override PartName="/word/media/rId4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d50138a24b767f3722ea3bf8b58d506659bbe43"/>
    <w:p>
      <w:pPr>
        <w:pStyle w:val="Heading3"/>
      </w:pPr>
      <w:r>
        <w:t xml:space="preserve">Исследование влияния химического состава арматурной стали на ее предел прочности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rPr>
          <w:bCs/>
          <w:b/>
        </w:rPr>
        <w:t xml:space="preserve">Аннотация</w:t>
      </w:r>
    </w:p>
    <w:p>
      <w:pPr>
        <w:pStyle w:val="BodyText"/>
      </w:pPr>
      <w:r>
        <w:t xml:space="preserve">Представлена модель, определяющая зависимость значений предела прочности (временное сопротивление разрыву) от процентного содержания химических элементов в арматурной стали марки А500С.</w:t>
      </w:r>
    </w:p>
    <w:p>
      <w:pPr>
        <w:pStyle w:val="BodyText"/>
      </w:pPr>
      <w:r>
        <w:rPr>
          <w:bCs/>
          <w:b/>
        </w:rPr>
        <w:t xml:space="preserve">Введение</w:t>
      </w:r>
    </w:p>
    <w:p>
      <w:pPr>
        <w:pStyle w:val="BodyText"/>
      </w:pPr>
      <w:r>
        <w:rPr>
          <w:iCs/>
          <w:i/>
        </w:rPr>
        <w:t xml:space="preserve">Арматура</w:t>
      </w:r>
      <w:r>
        <w:t xml:space="preserve"> </w:t>
      </w:r>
      <w:r>
        <w:t xml:space="preserve">— совокупность соединённых между собой элементов, в данном случае, стальных стержней, которые при совместной работе с бетоном в железобетонных сооружениях воспринимают растягивающие напряжения (балки, перекрытия), а также могут использоваться для усиления бетона в сжатой зоне (колонны, стены и т.д.). Необходимое количество арматуры определяют расчетом элементов конструкций на нагрузки и воздействия.</w:t>
      </w:r>
    </w:p>
    <w:p>
      <w:pPr>
        <w:pStyle w:val="BodyText"/>
      </w:pPr>
      <w:r>
        <w:drawing>
          <wp:inline>
            <wp:extent cx="5334000" cy="20978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0d/mzvgy2rwjbuyko8imrj5sxa4o6gxn7ho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7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Арматура различается по ряду признаков: по назначению, ориентации в конструкции, условиям применения, по виду материала, из которого арматура изготавливается (рис.1).</w:t>
      </w:r>
    </w:p>
    <w:p>
      <w:pPr>
        <w:pStyle w:val="BodyText"/>
      </w:pPr>
      <w:r>
        <w:t xml:space="preserve">Основные механические характеристики арматуры (</w:t>
      </w:r>
      <w:r>
        <w:rPr>
          <w:iCs/>
          <w:i/>
        </w:rPr>
        <w:t xml:space="preserve">предел текучести</w:t>
      </w:r>
      <w:r>
        <w:t xml:space="preserve"> </w:t>
      </w:r>
      <w:r>
        <w:t xml:space="preserve">σ</w:t>
      </w:r>
      <w:r>
        <w:rPr>
          <w:vertAlign w:val="subscript"/>
        </w:rPr>
        <w:t xml:space="preserve">т,</w:t>
      </w:r>
      <w:r>
        <w:t xml:space="preserve"> </w:t>
      </w:r>
      <w:r>
        <w:rPr>
          <w:iCs/>
          <w:i/>
        </w:rPr>
        <w:t xml:space="preserve">предел прочности (временное сопротивление разрыву)</w:t>
      </w:r>
      <w:r>
        <w:t xml:space="preserve"> </w:t>
      </w:r>
      <w:r>
        <w:t xml:space="preserve">σ</w:t>
      </w:r>
      <w:r>
        <w:rPr>
          <w:vertAlign w:val="subscript"/>
        </w:rPr>
        <w:t xml:space="preserve">в</w:t>
      </w:r>
      <w:r>
        <w:t xml:space="preserve"> </w:t>
      </w:r>
      <w:r>
        <w:rPr>
          <w:iCs/>
          <w:i/>
        </w:rPr>
        <w:t xml:space="preserve">и относительное удлинение образца после разрыва</w:t>
      </w:r>
      <w:r>
        <w:t xml:space="preserve"> </w:t>
      </w:r>
      <w:r>
        <w:t xml:space="preserve">δ) получают графическим путем с использованием диаграмм (рис.2), записанных регистрирующим прибором разрывной машины, при испытаниях на статическое растяжение.</w:t>
      </w:r>
    </w:p>
    <w:p>
      <w:pPr>
        <w:pStyle w:val="BodyText"/>
      </w:pPr>
      <w:r>
        <w:drawing>
          <wp:inline>
            <wp:extent cx="5334000" cy="231064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85/f6b2e1qbhky1mwfegahizjj3jjsy6px8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106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Относительное удлинение – это отношение абсолютного удлинения рабочей части образца после разрушения к начальной расчетной длине. Относительное удлинение образца является одним из основных показателей пластичности металла при испытании на растяжение.</w:t>
      </w:r>
    </w:p>
    <w:p>
      <w:pPr>
        <w:pStyle w:val="BodyText"/>
      </w:pPr>
      <w:r>
        <w:t xml:space="preserve">Предел текучести физический – это напряжение, при котором образец деформируется под действием практически неизменной растягивающей нагрузки Р</w:t>
      </w:r>
      <w:r>
        <w:rPr>
          <w:vertAlign w:val="subscript"/>
        </w:rPr>
        <w:t xml:space="preserve">т</w:t>
      </w:r>
      <w:r>
        <w:t xml:space="preserve">. При отсутствии на диаграмме растяжения площадки текучести рассчитывают условный предел текучести σ</w:t>
      </w:r>
      <w:r>
        <w:rPr>
          <w:vertAlign w:val="subscript"/>
        </w:rPr>
        <w:t xml:space="preserve">0,2</w:t>
      </w:r>
      <w:r>
        <w:t xml:space="preserve"> </w:t>
      </w:r>
      <w:r>
        <w:t xml:space="preserve">– напряжение, при котором остаточное удлинение достигает заданной величины, обычно 0,2 %.</w:t>
      </w:r>
    </w:p>
    <w:p>
      <w:pPr>
        <w:pStyle w:val="BodyText"/>
      </w:pPr>
      <w:r>
        <w:t xml:space="preserve">Предел прочности (временное сопротивление разрыву) представляет собой напряжение в образце, соответствующее наибольшей нагрузке Р</w:t>
      </w:r>
      <w:r>
        <w:rPr>
          <w:vertAlign w:val="subscript"/>
        </w:rPr>
        <w:t xml:space="preserve">max</w:t>
      </w:r>
      <w:r>
        <w:t xml:space="preserve">, предшествующей разрушению образца.</w:t>
      </w:r>
    </w:p>
    <w:p>
      <w:pPr>
        <w:pStyle w:val="BodyText"/>
      </w:pPr>
      <w:r>
        <w:t xml:space="preserve">Повышение прочности горячекатаной арматурной стали и уменьшение удлинения при разрыве достигаются введением в ее состав углерода и различных легирующих добавок: марганца, кремния, хрома и др. При этом каждый химический элемент, входящий в состав стали, по-своему влияет на ее механические свойства – улучшает или ухудшает.</w:t>
      </w:r>
    </w:p>
    <w:p>
      <w:pPr>
        <w:pStyle w:val="BodyText"/>
      </w:pPr>
      <w:r>
        <w:t xml:space="preserve">Для анализа процессов, происходящих при легировании и деформировании сталей, значимую роль играет знание зависимостей между химическим составом и механическими свойствами.</w:t>
      </w:r>
    </w:p>
    <w:p>
      <w:pPr>
        <w:pStyle w:val="BodyText"/>
      </w:pPr>
      <w:r>
        <w:rPr>
          <w:bCs/>
          <w:b/>
        </w:rPr>
        <w:t xml:space="preserve">Анализ комплексного влияния химических элементов стали на ее предел прочности</w:t>
      </w:r>
    </w:p>
    <w:p>
      <w:pPr>
        <w:pStyle w:val="BodyText"/>
      </w:pPr>
      <w:r>
        <w:t xml:space="preserve">В Лаборатории испытаний строительных материалов и конструкций ГБУ «Центра экспертиз, исследований и испытаний в строительстве» была проведена и проводится в настоящее время работа по анализу влияния химического состава арматурной стали на временное сопротивление разрыву.</w:t>
      </w:r>
    </w:p>
    <w:p>
      <w:pPr>
        <w:pStyle w:val="BodyText"/>
      </w:pPr>
      <w:r>
        <w:t xml:space="preserve">В течение 2022 года в Лаборатории испытаний строительных материалов и конструкций ГБУ «ЦЭИИС» проводились испытания образцов арматурных стержней диаметром от Ø16 до Ø22. Были выполнены более 70 параллельных испытаний. При этом для одной и той же пробы данного типоразмера арматурных стержней определяли фактическую массовую долю химических элементов с помощью оптико-эмиссионного спектрометра МСА II (рис.3) и механические свойства стали при помощи испытательной машины ИР-1000М-авто (рис.4).</w:t>
      </w:r>
    </w:p>
    <w:p>
      <w:pPr>
        <w:pStyle w:val="BodyText"/>
      </w:pPr>
      <w:r>
        <w:drawing>
          <wp:inline>
            <wp:extent cx="3416530" cy="352044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f2/e0kcvhn0nln9o1ajrhp92cxs0sidvwxm/1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530" cy="3520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07565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a9/xur82ykmg9k7yifp3wnoybxzfy11tvry/2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75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Массив данных, полученных по результатам проведенных параллельных испытаний, был обработан с помощью многофакторного корреляционного анализа.</w:t>
      </w:r>
    </w:p>
    <w:p>
      <w:pPr>
        <w:pStyle w:val="BodyText"/>
      </w:pPr>
      <w:r>
        <w:t xml:space="preserve">Получено следующее уравнение регрессии комплексного влияния химических элементов стали на ее предел прочности</w:t>
      </w:r>
      <w:r>
        <w:t xml:space="preserve"> </w:t>
      </w:r>
      <w:r>
        <w:rPr>
          <w:iCs/>
          <w:i/>
          <w:bCs/>
          <w:b/>
        </w:rPr>
        <w:t xml:space="preserve">σ</w:t>
      </w:r>
      <w:r>
        <w:rPr>
          <w:vertAlign w:val="subscript"/>
          <w:iCs/>
          <w:i/>
          <w:bCs/>
          <w:b/>
        </w:rPr>
        <w:t xml:space="preserve">в</w:t>
      </w:r>
      <w:r>
        <w:t xml:space="preserve">:</w:t>
      </w:r>
    </w:p>
    <w:p>
      <w:pPr>
        <w:pStyle w:val="BodyText"/>
      </w:pPr>
      <w:r>
        <w:drawing>
          <wp:inline>
            <wp:extent cx="5207267" cy="92402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2c/8dt8vbw28qy70vkbhlx68ft0e8zjsplh/3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267" cy="924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Коэффициент множественной корреляции R=0,71.</w:t>
      </w:r>
    </w:p>
    <w:p>
      <w:pPr>
        <w:pStyle w:val="BodyText"/>
      </w:pPr>
      <w:r>
        <w:t xml:space="preserve">Фактические и расчетные значения предела прочности</w:t>
      </w:r>
      <w:r>
        <w:t xml:space="preserve"> </w:t>
      </w:r>
      <w:r>
        <w:rPr>
          <w:iCs/>
          <w:i/>
          <w:bCs/>
          <w:b/>
        </w:rPr>
        <w:t xml:space="preserve">σ</w:t>
      </w:r>
      <w:r>
        <w:rPr>
          <w:vertAlign w:val="subscript"/>
          <w:iCs/>
          <w:i/>
          <w:bCs/>
          <w:b/>
        </w:rPr>
        <w:t xml:space="preserve">в</w:t>
      </w:r>
      <w:r>
        <w:t xml:space="preserve"> </w:t>
      </w:r>
      <w:r>
        <w:t xml:space="preserve">испытанных арматурных стержней представлены ниже (табл. 1 и рис.5).</w:t>
      </w:r>
    </w:p>
    <w:p>
      <w:pPr>
        <w:pStyle w:val="BodyText"/>
      </w:pPr>
      <w:r>
        <w:drawing>
          <wp:inline>
            <wp:extent cx="4831882" cy="696869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4a/taad3gqwud4ig344g2m3cmp015pux2ln/4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6968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272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93/h3ym7gr62ygsihby8sfsqq9vlnhmv94k/5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11374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f1/529woqpl2ssfezh0rztzzmgqg9z7w0rj/6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13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Значение множественного коэффициента корреляции (R=0,71) подтверждает возможность надёжного прогнозирования предела прочности арматурной стали класса А500С исходя из ее</w:t>
      </w:r>
      <w:r>
        <w:t xml:space="preserve"> </w:t>
      </w:r>
      <w:r>
        <w:t xml:space="preserve"> </w:t>
      </w:r>
      <w:r>
        <w:t xml:space="preserve">химического состава.</w:t>
      </w:r>
    </w:p>
    <w:p>
      <w:pPr>
        <w:pStyle w:val="BodyText"/>
      </w:pPr>
      <w:r>
        <w:rPr>
          <w:bCs/>
          <w:b/>
        </w:rPr>
        <w:t xml:space="preserve">Список использованной литературы</w:t>
      </w:r>
    </w:p>
    <w:p>
      <w:pPr>
        <w:pStyle w:val="BodyText"/>
      </w:pPr>
      <w:r>
        <w:t xml:space="preserve">1. Неклюдов, И. М. Основы физики прочности и пластичности металлов: учеб. пособие / И. М. Неклюдов, Н. В. Камышанченко. – Белгород: Изд-во БелГУ, 2003. – 488 с.,</w:t>
      </w:r>
    </w:p>
    <w:p>
      <w:pPr>
        <w:pStyle w:val="BodyText"/>
      </w:pPr>
      <w:r>
        <w:t xml:space="preserve">2. Золоторевский, В. С. Механические свойства металлов / В. С. Золотаревский. – М.: МИСиС, 1998. – 400 с.,</w:t>
      </w:r>
    </w:p>
    <w:p>
      <w:pPr>
        <w:pStyle w:val="BodyText"/>
      </w:pPr>
      <w:r>
        <w:t xml:space="preserve">3. Терентьев, В. Ф. Механические свойства металлических материалов. Часть 1 / В. Ф. Терентьев, А. Г. Колмаков. – M.: Издательство МГТУ им. Н. Э. Баумана, 2003. – 110 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подготовила:</w:t>
      </w:r>
    </w:p>
    <w:p>
      <w:pPr>
        <w:pStyle w:val="BodyText"/>
      </w:pPr>
      <w:r>
        <w:rPr>
          <w:iCs/>
          <w:i/>
        </w:rPr>
        <w:t xml:space="preserve">Ведущий инженер Лаборатории испытаний строительных материалов и конструкций</w:t>
      </w:r>
    </w:p>
    <w:p>
      <w:pPr>
        <w:pStyle w:val="BodyText"/>
      </w:pPr>
      <w:r>
        <w:rPr>
          <w:iCs/>
          <w:i/>
        </w:rPr>
        <w:t xml:space="preserve">  ГБУ "ЦЭИИС" Мальцева Л.В.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http://ceiis.mos.ru/presscenter/nauchno-publitsisticheskie-stati/detail/11370755.html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ГБУ города Москвы «ЦЭИИС»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png" /><Relationship Type="http://schemas.openxmlformats.org/officeDocument/2006/relationships/image" Id="rId29" Target="media/rId29.jpg" /><Relationship Type="http://schemas.openxmlformats.org/officeDocument/2006/relationships/image" Id="rId23" Target="media/rId23.png" /><Relationship Type="http://schemas.openxmlformats.org/officeDocument/2006/relationships/image" Id="rId26" Target="media/rId26.jpg" /><Relationship Type="http://schemas.openxmlformats.org/officeDocument/2006/relationships/image" Id="rId20" Target="media/rId20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hyperlink" Id="rId45" Target="http://ceiis.mos.ru" TargetMode="External" /><Relationship Type="http://schemas.openxmlformats.org/officeDocument/2006/relationships/hyperlink" Id="rId44" Target="http://ceiis.mos.ru/presscenter/nauchno-publitsisticheskie-stati/detail/11370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ceiis.mos.ru" TargetMode="External" /><Relationship Type="http://schemas.openxmlformats.org/officeDocument/2006/relationships/hyperlink" Id="rId44" Target="http://ceiis.mos.ru/presscenter/nauchno-publitsisticheskie-stati/detail/11370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2025-04-10T00:32:39Z</dcterms:created>
  <dcterms:modified xsi:type="dcterms:W3CDTF">2025-04-10T00:32:39Z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