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ad83b3ec0e3a801bfb1e9be6c84e29256f269"/>
    <w:p>
      <w:pPr>
        <w:pStyle w:val="Heading3"/>
      </w:pPr>
      <w:r>
        <w:t xml:space="preserve">Приказ о Комиссии по противодействию коррупции государственного бюджетного учреждения "Центр экспертиз, исследований и испытаний в строительстве"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http://ceiis.mos.ru/anti-corruption/the-commission-for-observance-of-requirements-for-the-official-behaviour-of-state-civil-employees-of/detail/2444989.html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«ЦЭИИС»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iis.mos.ru" TargetMode="External" /><Relationship Type="http://schemas.openxmlformats.org/officeDocument/2006/relationships/hyperlink" Id="rId20" Target="http://ceiis.mos.ru/anti-corruption/the-commission-for-observance-of-requirements-for-the-official-behaviour-of-state-civil-employees-of/detail/2444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iis.mos.ru" TargetMode="External" /><Relationship Type="http://schemas.openxmlformats.org/officeDocument/2006/relationships/hyperlink" Id="rId20" Target="http://ceiis.mos.ru/anti-corruption/the-commission-for-observance-of-requirements-for-the-official-behaviour-of-state-civil-employees-of/detail/2444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2025-04-10T00:13:41Z</dcterms:created>
  <dcterms:modified xsi:type="dcterms:W3CDTF">2025-04-10T00:13:41Z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